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2523" w14:textId="77777777" w:rsidR="00C8426A" w:rsidRDefault="00C8426A" w:rsidP="00C8426A">
      <w:pPr>
        <w:pStyle w:val="a0"/>
      </w:pPr>
    </w:p>
    <w:p w14:paraId="081560CC" w14:textId="77777777" w:rsidR="00C8426A" w:rsidRDefault="00C8426A" w:rsidP="00C8426A">
      <w:pPr>
        <w:pStyle w:val="a0"/>
      </w:pPr>
    </w:p>
    <w:p w14:paraId="125476B1" w14:textId="77777777" w:rsidR="00C8426A" w:rsidRDefault="00C8426A" w:rsidP="00C8426A">
      <w:pPr>
        <w:pStyle w:val="a0"/>
      </w:pPr>
    </w:p>
    <w:p w14:paraId="1606CB2E" w14:textId="77777777" w:rsidR="00C8426A" w:rsidRDefault="00C8426A" w:rsidP="00C8426A">
      <w:pPr>
        <w:pStyle w:val="a0"/>
      </w:pPr>
    </w:p>
    <w:p w14:paraId="21241983" w14:textId="77777777" w:rsidR="00C8426A" w:rsidRDefault="00C8426A" w:rsidP="00C8426A">
      <w:pPr>
        <w:pStyle w:val="a0"/>
      </w:pPr>
    </w:p>
    <w:p w14:paraId="70A5A6B6" w14:textId="77777777" w:rsidR="005C4B91" w:rsidRDefault="005C4B91">
      <w:pPr>
        <w:pStyle w:val="a0"/>
      </w:pPr>
    </w:p>
    <w:p w14:paraId="1DF98E41" w14:textId="77777777" w:rsidR="005C4B91" w:rsidRDefault="005C4B91">
      <w:pPr>
        <w:pStyle w:val="a0"/>
      </w:pPr>
    </w:p>
    <w:p w14:paraId="0036C9DC" w14:textId="1F31CD42" w:rsidR="005C4B91" w:rsidRPr="007E206F" w:rsidRDefault="007E206F">
      <w:pPr>
        <w:jc w:val="center"/>
        <w:rPr>
          <w:b/>
          <w:bCs/>
          <w:sz w:val="32"/>
          <w:szCs w:val="32"/>
        </w:rPr>
      </w:pPr>
      <w:r w:rsidRPr="007E206F">
        <w:rPr>
          <w:rFonts w:hint="eastAsia"/>
          <w:b/>
          <w:bCs/>
          <w:sz w:val="32"/>
          <w:szCs w:val="32"/>
        </w:rPr>
        <w:t>江苏钟山典当有限责任公司拟转让债权</w:t>
      </w:r>
    </w:p>
    <w:p w14:paraId="54B7DF29" w14:textId="1BDCA992" w:rsidR="005C4B91" w:rsidRDefault="007E206F">
      <w:pPr>
        <w:jc w:val="center"/>
        <w:rPr>
          <w:b/>
          <w:bCs/>
          <w:sz w:val="32"/>
          <w:szCs w:val="32"/>
        </w:rPr>
      </w:pPr>
      <w:r>
        <w:rPr>
          <w:rFonts w:hint="eastAsia"/>
          <w:b/>
          <w:bCs/>
          <w:sz w:val="32"/>
          <w:szCs w:val="32"/>
        </w:rPr>
        <w:t>价值咨询</w:t>
      </w:r>
      <w:r w:rsidR="00B05E98">
        <w:rPr>
          <w:rFonts w:hint="eastAsia"/>
          <w:b/>
          <w:bCs/>
          <w:sz w:val="32"/>
          <w:szCs w:val="32"/>
        </w:rPr>
        <w:t>报告</w:t>
      </w:r>
    </w:p>
    <w:p w14:paraId="0CE4C0C2" w14:textId="77777777" w:rsidR="005C4B91" w:rsidRDefault="005C4B91">
      <w:pPr>
        <w:pStyle w:val="a0"/>
      </w:pPr>
    </w:p>
    <w:p w14:paraId="216D6451" w14:textId="77777777" w:rsidR="00C8426A" w:rsidRDefault="00C8426A">
      <w:pPr>
        <w:pStyle w:val="a0"/>
      </w:pPr>
    </w:p>
    <w:p w14:paraId="40B95134" w14:textId="77777777" w:rsidR="00C8426A" w:rsidRDefault="00C8426A">
      <w:pPr>
        <w:pStyle w:val="a0"/>
      </w:pPr>
    </w:p>
    <w:p w14:paraId="11655A98" w14:textId="77777777" w:rsidR="00C8426A" w:rsidRDefault="00C8426A">
      <w:pPr>
        <w:pStyle w:val="a0"/>
      </w:pPr>
    </w:p>
    <w:p w14:paraId="5E9C69C8" w14:textId="77777777" w:rsidR="00C8426A" w:rsidRDefault="00C8426A">
      <w:pPr>
        <w:pStyle w:val="a0"/>
      </w:pPr>
    </w:p>
    <w:p w14:paraId="6F9204C5" w14:textId="77777777" w:rsidR="00C8426A" w:rsidRDefault="00C8426A">
      <w:pPr>
        <w:pStyle w:val="a0"/>
      </w:pPr>
    </w:p>
    <w:p w14:paraId="2A0B224D" w14:textId="77777777" w:rsidR="00C8426A" w:rsidRDefault="00C8426A">
      <w:pPr>
        <w:pStyle w:val="a0"/>
      </w:pPr>
    </w:p>
    <w:p w14:paraId="3EC39922" w14:textId="77777777" w:rsidR="005C4B91" w:rsidRDefault="005C4B91">
      <w:pPr>
        <w:pStyle w:val="a0"/>
      </w:pPr>
    </w:p>
    <w:p w14:paraId="70D69234" w14:textId="77777777" w:rsidR="005C4B91" w:rsidRDefault="005C4B91">
      <w:pPr>
        <w:pStyle w:val="a0"/>
      </w:pPr>
    </w:p>
    <w:p w14:paraId="72B3C175" w14:textId="77777777" w:rsidR="005C4B91" w:rsidRDefault="005C4B91">
      <w:pPr>
        <w:pStyle w:val="a0"/>
      </w:pPr>
    </w:p>
    <w:p w14:paraId="6E9BC4B5" w14:textId="77777777" w:rsidR="00C8426A" w:rsidRDefault="00C8426A">
      <w:pPr>
        <w:pStyle w:val="a0"/>
      </w:pPr>
    </w:p>
    <w:p w14:paraId="4234154F" w14:textId="77777777" w:rsidR="005C4B91" w:rsidRDefault="005C4B91">
      <w:pPr>
        <w:pStyle w:val="a0"/>
      </w:pPr>
    </w:p>
    <w:p w14:paraId="632259C7" w14:textId="77777777" w:rsidR="005C4B91" w:rsidRDefault="005C4B91">
      <w:pPr>
        <w:pStyle w:val="a0"/>
      </w:pPr>
    </w:p>
    <w:p w14:paraId="37DB1E94" w14:textId="77777777" w:rsidR="005C4B91" w:rsidRDefault="005C4B91">
      <w:pPr>
        <w:pStyle w:val="a0"/>
      </w:pPr>
    </w:p>
    <w:p w14:paraId="2D15199A" w14:textId="77777777" w:rsidR="005C4B91" w:rsidRDefault="005C4B91">
      <w:pPr>
        <w:pStyle w:val="a0"/>
      </w:pPr>
    </w:p>
    <w:p w14:paraId="269C5ED9" w14:textId="77777777" w:rsidR="00C8426A" w:rsidRDefault="00C8426A">
      <w:pPr>
        <w:pStyle w:val="a0"/>
      </w:pPr>
    </w:p>
    <w:p w14:paraId="173814E6" w14:textId="77777777" w:rsidR="00C8426A" w:rsidRDefault="00C8426A">
      <w:pPr>
        <w:pStyle w:val="a0"/>
      </w:pPr>
    </w:p>
    <w:p w14:paraId="085E8318" w14:textId="77777777" w:rsidR="00C8426A" w:rsidRDefault="00C8426A">
      <w:pPr>
        <w:pStyle w:val="a0"/>
      </w:pPr>
    </w:p>
    <w:p w14:paraId="1D83F11B" w14:textId="1F1F7681" w:rsidR="005C4B91" w:rsidRDefault="007E206F">
      <w:pPr>
        <w:pStyle w:val="a0"/>
        <w:snapToGrid w:val="0"/>
        <w:spacing w:line="360" w:lineRule="auto"/>
        <w:jc w:val="center"/>
        <w:rPr>
          <w:rFonts w:ascii="宋体" w:eastAsia="宋体" w:hAnsi="宋体" w:cs="宋体" w:hint="eastAsia"/>
          <w:b/>
          <w:bCs/>
          <w:kern w:val="2"/>
          <w:sz w:val="30"/>
          <w:szCs w:val="30"/>
        </w:rPr>
      </w:pPr>
      <w:r>
        <w:rPr>
          <w:rFonts w:ascii="宋体" w:eastAsia="宋体" w:hAnsi="宋体" w:cs="宋体" w:hint="eastAsia"/>
          <w:b/>
          <w:bCs/>
          <w:kern w:val="2"/>
          <w:sz w:val="30"/>
          <w:szCs w:val="30"/>
        </w:rPr>
        <w:t>江苏华盛资产评估</w:t>
      </w:r>
      <w:r w:rsidR="00B05E98">
        <w:rPr>
          <w:rFonts w:ascii="宋体" w:eastAsia="宋体" w:hAnsi="宋体" w:cs="宋体" w:hint="eastAsia"/>
          <w:b/>
          <w:bCs/>
          <w:kern w:val="2"/>
          <w:sz w:val="30"/>
          <w:szCs w:val="30"/>
        </w:rPr>
        <w:t>有限公司</w:t>
      </w:r>
    </w:p>
    <w:p w14:paraId="69C54936" w14:textId="536CCB2F" w:rsidR="005C4B91" w:rsidRDefault="00000000">
      <w:pPr>
        <w:adjustRightInd w:val="0"/>
        <w:snapToGrid w:val="0"/>
        <w:spacing w:line="360" w:lineRule="auto"/>
        <w:ind w:firstLineChars="1000" w:firstLine="3012"/>
        <w:sectPr w:rsidR="005C4B91" w:rsidSect="000C6D8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pPr>
      <w:r>
        <w:rPr>
          <w:rFonts w:ascii="宋体" w:eastAsia="宋体" w:hAnsi="宋体" w:cs="宋体" w:hint="eastAsia"/>
          <w:b/>
          <w:bCs/>
          <w:sz w:val="30"/>
          <w:szCs w:val="30"/>
        </w:rPr>
        <w:t>二</w:t>
      </w:r>
      <w:r>
        <w:rPr>
          <w:rFonts w:ascii="宋体" w:eastAsia="宋体" w:hAnsi="宋体" w:cs="宋体"/>
          <w:b/>
          <w:bCs/>
          <w:sz w:val="30"/>
          <w:szCs w:val="30"/>
        </w:rPr>
        <w:t>O</w:t>
      </w:r>
      <w:r>
        <w:rPr>
          <w:rFonts w:ascii="宋体" w:eastAsia="宋体" w:hAnsi="宋体" w:cs="宋体" w:hint="eastAsia"/>
          <w:b/>
          <w:bCs/>
          <w:sz w:val="30"/>
          <w:szCs w:val="30"/>
        </w:rPr>
        <w:t>二</w:t>
      </w:r>
      <w:r w:rsidR="005474B7">
        <w:rPr>
          <w:rFonts w:ascii="宋体" w:eastAsia="宋体" w:hAnsi="宋体" w:cs="宋体" w:hint="eastAsia"/>
          <w:b/>
          <w:bCs/>
          <w:sz w:val="30"/>
          <w:szCs w:val="30"/>
        </w:rPr>
        <w:t>五</w:t>
      </w:r>
      <w:r>
        <w:rPr>
          <w:rFonts w:ascii="宋体" w:eastAsia="宋体" w:hAnsi="宋体" w:cs="宋体" w:hint="eastAsia"/>
          <w:b/>
          <w:bCs/>
          <w:sz w:val="30"/>
          <w:szCs w:val="30"/>
        </w:rPr>
        <w:t>年</w:t>
      </w:r>
      <w:r w:rsidR="007E206F">
        <w:rPr>
          <w:rFonts w:ascii="宋体" w:eastAsia="宋体" w:hAnsi="宋体" w:cs="宋体" w:hint="eastAsia"/>
          <w:b/>
          <w:bCs/>
          <w:sz w:val="30"/>
          <w:szCs w:val="30"/>
        </w:rPr>
        <w:t>十</w:t>
      </w:r>
      <w:r>
        <w:rPr>
          <w:rFonts w:ascii="宋体" w:eastAsia="宋体" w:hAnsi="宋体" w:cs="宋体" w:hint="eastAsia"/>
          <w:b/>
          <w:bCs/>
          <w:sz w:val="30"/>
          <w:szCs w:val="30"/>
        </w:rPr>
        <w:t>月二十日</w:t>
      </w:r>
    </w:p>
    <w:p w14:paraId="5096837E" w14:textId="77777777" w:rsidR="005C4B91" w:rsidRPr="007E206F" w:rsidRDefault="005C4B91">
      <w:pPr>
        <w:pStyle w:val="a0"/>
        <w:ind w:firstLine="0"/>
      </w:pPr>
    </w:p>
    <w:sdt>
      <w:sdtPr>
        <w:rPr>
          <w:rFonts w:asciiTheme="minorHAnsi" w:eastAsiaTheme="minorEastAsia" w:hAnsiTheme="minorHAnsi" w:cstheme="minorBidi"/>
          <w:color w:val="auto"/>
          <w:kern w:val="2"/>
          <w:sz w:val="21"/>
          <w:szCs w:val="24"/>
          <w:lang w:val="zh-CN"/>
        </w:rPr>
        <w:id w:val="329104370"/>
        <w:docPartObj>
          <w:docPartGallery w:val="Table of Contents"/>
          <w:docPartUnique/>
        </w:docPartObj>
      </w:sdtPr>
      <w:sdtEndPr>
        <w:rPr>
          <w:b/>
          <w:bCs/>
        </w:rPr>
      </w:sdtEndPr>
      <w:sdtContent>
        <w:p w14:paraId="393F61AC" w14:textId="77777777" w:rsidR="005C4B91" w:rsidRDefault="00000000">
          <w:pPr>
            <w:pStyle w:val="TOC1"/>
            <w:jc w:val="center"/>
            <w:rPr>
              <w:color w:val="auto"/>
              <w:lang w:val="zh-CN"/>
            </w:rPr>
          </w:pPr>
          <w:r>
            <w:rPr>
              <w:color w:val="auto"/>
              <w:lang w:val="zh-CN"/>
            </w:rPr>
            <w:t>目</w:t>
          </w:r>
          <w:r>
            <w:rPr>
              <w:rFonts w:hint="eastAsia"/>
              <w:color w:val="auto"/>
            </w:rPr>
            <w:t xml:space="preserve">  </w:t>
          </w:r>
          <w:r>
            <w:rPr>
              <w:color w:val="auto"/>
              <w:lang w:val="zh-CN"/>
            </w:rPr>
            <w:t>录</w:t>
          </w:r>
        </w:p>
        <w:p w14:paraId="4F92E8B6" w14:textId="77777777" w:rsidR="005C4B91" w:rsidRDefault="005C4B91">
          <w:pPr>
            <w:pStyle w:val="a0"/>
            <w:ind w:firstLine="0"/>
          </w:pPr>
        </w:p>
        <w:p w14:paraId="78AB6323" w14:textId="0D3FDB9C" w:rsidR="00586839" w:rsidRDefault="00000000">
          <w:pPr>
            <w:pStyle w:val="TOC2"/>
            <w:tabs>
              <w:tab w:val="right" w:leader="dot" w:pos="8296"/>
            </w:tabs>
            <w:rPr>
              <w:noProof/>
              <w:sz w:val="22"/>
              <w14:ligatures w14:val="standardContextual"/>
            </w:rPr>
          </w:pPr>
          <w:r w:rsidRPr="00DE513A">
            <w:rPr>
              <w:rFonts w:ascii="宋体" w:eastAsia="宋体" w:hAnsi="宋体" w:cs="宋体" w:hint="eastAsia"/>
              <w:sz w:val="24"/>
            </w:rPr>
            <w:fldChar w:fldCharType="begin"/>
          </w:r>
          <w:r w:rsidRPr="00DE513A">
            <w:rPr>
              <w:rFonts w:ascii="宋体" w:eastAsia="宋体" w:hAnsi="宋体" w:cs="宋体" w:hint="eastAsia"/>
              <w:sz w:val="24"/>
            </w:rPr>
            <w:instrText xml:space="preserve"> TOC \o "1-3" \h \z \u </w:instrText>
          </w:r>
          <w:r w:rsidRPr="00DE513A">
            <w:rPr>
              <w:rFonts w:ascii="宋体" w:eastAsia="宋体" w:hAnsi="宋体" w:cs="宋体" w:hint="eastAsia"/>
              <w:sz w:val="24"/>
            </w:rPr>
            <w:fldChar w:fldCharType="separate"/>
          </w:r>
          <w:hyperlink w:anchor="_Toc211694557" w:history="1">
            <w:r w:rsidR="00586839" w:rsidRPr="006D66DB">
              <w:rPr>
                <w:rStyle w:val="a9"/>
                <w:rFonts w:ascii="Times New Roman" w:hAnsi="Times New Roman" w:hint="eastAsia"/>
                <w:noProof/>
              </w:rPr>
              <w:t>一、委托人（产权持有人）概况</w:t>
            </w:r>
            <w:r w:rsidR="00586839">
              <w:rPr>
                <w:rFonts w:hint="eastAsia"/>
                <w:noProof/>
                <w:webHidden/>
              </w:rPr>
              <w:tab/>
            </w:r>
            <w:r w:rsidR="00586839">
              <w:rPr>
                <w:rFonts w:hint="eastAsia"/>
                <w:noProof/>
                <w:webHidden/>
              </w:rPr>
              <w:fldChar w:fldCharType="begin"/>
            </w:r>
            <w:r w:rsidR="00586839">
              <w:rPr>
                <w:rFonts w:hint="eastAsia"/>
                <w:noProof/>
                <w:webHidden/>
              </w:rPr>
              <w:instrText xml:space="preserve"> </w:instrText>
            </w:r>
            <w:r w:rsidR="00586839">
              <w:rPr>
                <w:noProof/>
                <w:webHidden/>
              </w:rPr>
              <w:instrText>PAGEREF _Toc211694557 \h</w:instrText>
            </w:r>
            <w:r w:rsidR="00586839">
              <w:rPr>
                <w:rFonts w:hint="eastAsia"/>
                <w:noProof/>
                <w:webHidden/>
              </w:rPr>
              <w:instrText xml:space="preserve"> </w:instrText>
            </w:r>
            <w:r w:rsidR="00586839">
              <w:rPr>
                <w:rFonts w:hint="eastAsia"/>
                <w:noProof/>
                <w:webHidden/>
              </w:rPr>
            </w:r>
            <w:r w:rsidR="00586839">
              <w:rPr>
                <w:rFonts w:hint="eastAsia"/>
                <w:noProof/>
                <w:webHidden/>
              </w:rPr>
              <w:fldChar w:fldCharType="separate"/>
            </w:r>
            <w:r w:rsidR="00586839">
              <w:rPr>
                <w:noProof/>
                <w:webHidden/>
              </w:rPr>
              <w:t>2</w:t>
            </w:r>
            <w:r w:rsidR="00586839">
              <w:rPr>
                <w:rFonts w:hint="eastAsia"/>
                <w:noProof/>
                <w:webHidden/>
              </w:rPr>
              <w:fldChar w:fldCharType="end"/>
            </w:r>
          </w:hyperlink>
        </w:p>
        <w:p w14:paraId="62073803" w14:textId="41192002" w:rsidR="00586839" w:rsidRDefault="00586839">
          <w:pPr>
            <w:pStyle w:val="TOC2"/>
            <w:tabs>
              <w:tab w:val="right" w:leader="dot" w:pos="8296"/>
            </w:tabs>
            <w:rPr>
              <w:noProof/>
              <w:sz w:val="22"/>
              <w14:ligatures w14:val="standardContextual"/>
            </w:rPr>
          </w:pPr>
          <w:hyperlink w:anchor="_Toc211694558" w:history="1">
            <w:r w:rsidRPr="006D66DB">
              <w:rPr>
                <w:rStyle w:val="a9"/>
                <w:rFonts w:ascii="Times New Roman" w:hAnsi="Times New Roman" w:hint="eastAsia"/>
                <w:noProof/>
              </w:rPr>
              <w:t>二、价值咨询目的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_Toc211694558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49FCC67F" w14:textId="6E0C81A5" w:rsidR="00586839" w:rsidRDefault="00586839">
          <w:pPr>
            <w:pStyle w:val="TOC2"/>
            <w:tabs>
              <w:tab w:val="right" w:leader="dot" w:pos="8296"/>
            </w:tabs>
            <w:rPr>
              <w:noProof/>
              <w:sz w:val="22"/>
              <w14:ligatures w14:val="standardContextual"/>
            </w:rPr>
          </w:pPr>
          <w:hyperlink w:anchor="_Toc211694559" w:history="1">
            <w:r w:rsidRPr="006D66DB">
              <w:rPr>
                <w:rStyle w:val="a9"/>
                <w:rFonts w:ascii="Times New Roman" w:hAnsi="Times New Roman" w:hint="eastAsia"/>
                <w:noProof/>
              </w:rPr>
              <w:t>三、价值咨询基准日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_Toc211694559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0157D633" w14:textId="70691B1B" w:rsidR="00586839" w:rsidRDefault="00586839">
          <w:pPr>
            <w:pStyle w:val="TOC2"/>
            <w:tabs>
              <w:tab w:val="right" w:leader="dot" w:pos="8296"/>
            </w:tabs>
            <w:rPr>
              <w:noProof/>
              <w:sz w:val="22"/>
              <w14:ligatures w14:val="standardContextual"/>
            </w:rPr>
          </w:pPr>
          <w:hyperlink w:anchor="_Toc211694560" w:history="1">
            <w:r w:rsidRPr="006D66DB">
              <w:rPr>
                <w:rStyle w:val="a9"/>
                <w:rFonts w:ascii="Times New Roman" w:hAnsi="Times New Roman" w:hint="eastAsia"/>
                <w:noProof/>
              </w:rPr>
              <w:t>四、价值咨询对象和价值咨询范围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_Toc211694560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21C110C3" w14:textId="73BECA69" w:rsidR="00586839" w:rsidRDefault="00586839">
          <w:pPr>
            <w:pStyle w:val="TOC2"/>
            <w:tabs>
              <w:tab w:val="right" w:leader="dot" w:pos="8296"/>
            </w:tabs>
            <w:rPr>
              <w:noProof/>
              <w:sz w:val="22"/>
              <w14:ligatures w14:val="standardContextual"/>
            </w:rPr>
          </w:pPr>
          <w:hyperlink w:anchor="_Toc211694561" w:history="1">
            <w:r w:rsidRPr="006D66DB">
              <w:rPr>
                <w:rStyle w:val="a9"/>
                <w:rFonts w:ascii="Times New Roman" w:hAnsi="Times New Roman" w:hint="eastAsia"/>
                <w:noProof/>
              </w:rPr>
              <w:t>五、价值咨询方法及过程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_Toc211694561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06ACBF18" w14:textId="27840EFC" w:rsidR="00586839" w:rsidRDefault="00586839">
          <w:pPr>
            <w:pStyle w:val="TOC2"/>
            <w:tabs>
              <w:tab w:val="right" w:leader="dot" w:pos="8296"/>
            </w:tabs>
            <w:rPr>
              <w:noProof/>
              <w:sz w:val="22"/>
              <w14:ligatures w14:val="standardContextual"/>
            </w:rPr>
          </w:pPr>
          <w:hyperlink w:anchor="_Toc211694562" w:history="1">
            <w:r w:rsidRPr="006D66DB">
              <w:rPr>
                <w:rStyle w:val="a9"/>
                <w:rFonts w:ascii="Times New Roman" w:hAnsi="Times New Roman" w:hint="eastAsia"/>
                <w:noProof/>
              </w:rPr>
              <w:t>六、价值咨询结论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_Toc211694562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2C2BA7D1" w14:textId="73455780" w:rsidR="00586839" w:rsidRDefault="00586839">
          <w:pPr>
            <w:pStyle w:val="TOC2"/>
            <w:tabs>
              <w:tab w:val="right" w:leader="dot" w:pos="8296"/>
            </w:tabs>
            <w:rPr>
              <w:noProof/>
              <w:sz w:val="22"/>
              <w14:ligatures w14:val="standardContextual"/>
            </w:rPr>
          </w:pPr>
          <w:hyperlink w:anchor="_Toc211694563" w:history="1">
            <w:r w:rsidRPr="006D66DB">
              <w:rPr>
                <w:rStyle w:val="a9"/>
                <w:rFonts w:ascii="Times New Roman" w:hAnsi="Times New Roman" w:hint="eastAsia"/>
                <w:noProof/>
              </w:rPr>
              <w:t>七、价值咨询报告出具日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_Toc211694563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53A71666" w14:textId="21D1BF94" w:rsidR="005C4B91" w:rsidRDefault="00000000">
          <w:pPr>
            <w:spacing w:line="360" w:lineRule="auto"/>
            <w:jc w:val="right"/>
          </w:pPr>
          <w:r w:rsidRPr="00DE513A">
            <w:rPr>
              <w:rFonts w:ascii="宋体" w:eastAsia="宋体" w:hAnsi="宋体" w:cs="宋体" w:hint="eastAsia"/>
              <w:b/>
              <w:bCs/>
              <w:sz w:val="24"/>
              <w:lang w:val="zh-CN"/>
            </w:rPr>
            <w:fldChar w:fldCharType="end"/>
          </w:r>
        </w:p>
      </w:sdtContent>
    </w:sdt>
    <w:p w14:paraId="4C132CCF" w14:textId="77777777" w:rsidR="005C4B91" w:rsidRDefault="00000000">
      <w:pPr>
        <w:pStyle w:val="a0"/>
        <w:rPr>
          <w:rFonts w:ascii="宋体" w:eastAsia="宋体" w:hAnsi="宋体" w:cs="宋体" w:hint="eastAsia"/>
          <w:sz w:val="24"/>
        </w:rPr>
      </w:pPr>
      <w:r>
        <w:rPr>
          <w:rFonts w:ascii="宋体" w:eastAsia="宋体" w:hAnsi="宋体" w:cs="宋体" w:hint="eastAsia"/>
          <w:sz w:val="24"/>
        </w:rPr>
        <w:t>附件</w:t>
      </w:r>
    </w:p>
    <w:p w14:paraId="31B9364B" w14:textId="0590298C" w:rsidR="005C4B91" w:rsidRDefault="00000000">
      <w:pPr>
        <w:pStyle w:val="a0"/>
        <w:snapToGrid w:val="0"/>
        <w:spacing w:line="360" w:lineRule="auto"/>
        <w:rPr>
          <w:rFonts w:ascii="宋体" w:eastAsia="宋体" w:hAnsi="宋体" w:cs="宋体" w:hint="eastAsia"/>
          <w:sz w:val="24"/>
        </w:rPr>
      </w:pPr>
      <w:r>
        <w:rPr>
          <w:rFonts w:ascii="宋体" w:eastAsia="宋体" w:hAnsi="宋体" w:cs="宋体" w:hint="eastAsia"/>
          <w:sz w:val="24"/>
        </w:rPr>
        <w:t xml:space="preserve">   </w:t>
      </w:r>
      <w:r w:rsidR="00B05E98">
        <w:rPr>
          <w:rFonts w:ascii="宋体" w:eastAsia="宋体" w:hAnsi="宋体" w:cs="宋体" w:hint="eastAsia"/>
          <w:sz w:val="24"/>
        </w:rPr>
        <w:t>1</w:t>
      </w:r>
      <w:r>
        <w:rPr>
          <w:rFonts w:ascii="宋体" w:eastAsia="宋体" w:hAnsi="宋体" w:cs="宋体" w:hint="eastAsia"/>
          <w:sz w:val="24"/>
        </w:rPr>
        <w:t>、</w:t>
      </w:r>
      <w:r w:rsidR="007E206F">
        <w:rPr>
          <w:rFonts w:ascii="宋体" w:eastAsia="宋体" w:hAnsi="宋体" w:cs="宋体" w:hint="eastAsia"/>
          <w:sz w:val="24"/>
        </w:rPr>
        <w:t>咨询</w:t>
      </w:r>
      <w:r>
        <w:rPr>
          <w:rFonts w:ascii="宋体" w:eastAsia="宋体" w:hAnsi="宋体" w:cs="宋体" w:hint="eastAsia"/>
          <w:sz w:val="24"/>
        </w:rPr>
        <w:t>机构营业执照复印件………………</w:t>
      </w:r>
      <w:r w:rsidR="009C013B">
        <w:rPr>
          <w:rFonts w:ascii="宋体" w:eastAsia="宋体" w:hAnsi="宋体" w:cs="宋体" w:hint="eastAsia"/>
          <w:sz w:val="24"/>
        </w:rPr>
        <w:t>………</w:t>
      </w:r>
      <w:r>
        <w:rPr>
          <w:rFonts w:ascii="宋体" w:eastAsia="宋体" w:hAnsi="宋体" w:cs="宋体" w:hint="eastAsia"/>
          <w:sz w:val="24"/>
        </w:rPr>
        <w:t>……………………1页</w:t>
      </w:r>
    </w:p>
    <w:p w14:paraId="13341054" w14:textId="77777777" w:rsidR="005C4B91" w:rsidRDefault="005C4B91">
      <w:pPr>
        <w:pStyle w:val="a0"/>
      </w:pPr>
    </w:p>
    <w:p w14:paraId="4F632322" w14:textId="77777777" w:rsidR="005C4B91" w:rsidRDefault="00000000">
      <w:pPr>
        <w:jc w:val="center"/>
        <w:rPr>
          <w:b/>
          <w:bCs/>
          <w:sz w:val="32"/>
          <w:szCs w:val="32"/>
        </w:rPr>
      </w:pPr>
      <w:r>
        <w:rPr>
          <w:b/>
          <w:bCs/>
          <w:sz w:val="32"/>
          <w:szCs w:val="32"/>
        </w:rPr>
        <w:br w:type="page"/>
      </w:r>
    </w:p>
    <w:p w14:paraId="7D62703A" w14:textId="77777777" w:rsidR="007E206F" w:rsidRPr="007E206F" w:rsidRDefault="007E206F" w:rsidP="007E206F">
      <w:pPr>
        <w:jc w:val="center"/>
        <w:rPr>
          <w:b/>
          <w:bCs/>
          <w:sz w:val="32"/>
          <w:szCs w:val="32"/>
        </w:rPr>
      </w:pPr>
      <w:r w:rsidRPr="007E206F">
        <w:rPr>
          <w:rFonts w:hint="eastAsia"/>
          <w:b/>
          <w:bCs/>
          <w:sz w:val="32"/>
          <w:szCs w:val="32"/>
        </w:rPr>
        <w:lastRenderedPageBreak/>
        <w:t>江苏钟山典当有限责任公司拟转让债权</w:t>
      </w:r>
    </w:p>
    <w:p w14:paraId="3CE4F1F7" w14:textId="44785DC0" w:rsidR="005C4B91" w:rsidRDefault="007E206F" w:rsidP="007E206F">
      <w:pPr>
        <w:jc w:val="center"/>
        <w:rPr>
          <w:b/>
          <w:bCs/>
          <w:sz w:val="32"/>
          <w:szCs w:val="32"/>
        </w:rPr>
      </w:pPr>
      <w:r>
        <w:rPr>
          <w:rFonts w:hint="eastAsia"/>
          <w:b/>
          <w:bCs/>
          <w:sz w:val="32"/>
          <w:szCs w:val="32"/>
        </w:rPr>
        <w:t>价值咨询报告</w:t>
      </w:r>
    </w:p>
    <w:p w14:paraId="07185C16" w14:textId="1E631062" w:rsidR="005C4B91" w:rsidRDefault="007E206F">
      <w:pPr>
        <w:spacing w:beforeLines="50" w:before="156" w:afterLines="50" w:after="156" w:line="360" w:lineRule="auto"/>
        <w:jc w:val="left"/>
        <w:rPr>
          <w:rFonts w:ascii="宋体" w:eastAsia="宋体" w:hAnsi="宋体" w:cs="宋体" w:hint="eastAsia"/>
          <w:b/>
          <w:bCs/>
          <w:sz w:val="24"/>
        </w:rPr>
      </w:pPr>
      <w:r>
        <w:rPr>
          <w:rFonts w:ascii="Times New Roman" w:eastAsia="宋体" w:hAnsi="Times New Roman" w:cs="Times New Roman" w:hint="eastAsia"/>
          <w:b/>
          <w:bCs/>
          <w:kern w:val="0"/>
          <w:sz w:val="24"/>
          <w:szCs w:val="28"/>
        </w:rPr>
        <w:t>江苏钟山典当有限责任公司</w:t>
      </w:r>
      <w:r>
        <w:rPr>
          <w:rFonts w:ascii="宋体" w:eastAsia="宋体" w:hAnsi="宋体" w:cs="宋体" w:hint="eastAsia"/>
          <w:b/>
          <w:bCs/>
          <w:sz w:val="24"/>
        </w:rPr>
        <w:t>：</w:t>
      </w:r>
    </w:p>
    <w:p w14:paraId="4C916FBD" w14:textId="0610256F" w:rsidR="005C4B91" w:rsidRDefault="007E206F">
      <w:pPr>
        <w:pStyle w:val="aa"/>
        <w:ind w:firstLine="480"/>
        <w:rPr>
          <w:rFonts w:ascii="宋体" w:eastAsia="宋体" w:hAnsi="宋体" w:cs="宋体" w:hint="eastAsia"/>
          <w:kern w:val="2"/>
          <w:sz w:val="24"/>
        </w:rPr>
      </w:pPr>
      <w:r>
        <w:rPr>
          <w:rFonts w:ascii="宋体" w:eastAsia="宋体" w:hAnsi="宋体" w:cs="宋体" w:hint="eastAsia"/>
          <w:kern w:val="2"/>
          <w:sz w:val="24"/>
        </w:rPr>
        <w:t>江苏华盛资产评估</w:t>
      </w:r>
      <w:r w:rsidR="00B05E98" w:rsidRPr="00B05E98">
        <w:rPr>
          <w:rFonts w:ascii="宋体" w:eastAsia="宋体" w:hAnsi="宋体" w:cs="宋体" w:hint="eastAsia"/>
          <w:kern w:val="2"/>
          <w:sz w:val="24"/>
        </w:rPr>
        <w:t>有限公司</w:t>
      </w:r>
      <w:r w:rsidR="00B05E98">
        <w:rPr>
          <w:rFonts w:ascii="宋体" w:eastAsia="宋体" w:hAnsi="宋体" w:cs="宋体" w:hint="eastAsia"/>
          <w:kern w:val="2"/>
          <w:sz w:val="24"/>
        </w:rPr>
        <w:t>接受贵公司的委托，对贵公司拟</w:t>
      </w:r>
      <w:r>
        <w:rPr>
          <w:rFonts w:ascii="宋体" w:eastAsia="宋体" w:hAnsi="宋体" w:cs="宋体" w:hint="eastAsia"/>
          <w:kern w:val="2"/>
          <w:sz w:val="24"/>
        </w:rPr>
        <w:t>转让</w:t>
      </w:r>
      <w:r w:rsidR="00B05E98">
        <w:rPr>
          <w:rFonts w:ascii="宋体" w:eastAsia="宋体" w:hAnsi="宋体" w:cs="宋体" w:hint="eastAsia"/>
          <w:kern w:val="2"/>
          <w:sz w:val="24"/>
        </w:rPr>
        <w:t>为目的</w:t>
      </w:r>
      <w:r>
        <w:rPr>
          <w:rFonts w:ascii="宋体" w:eastAsia="宋体" w:hAnsi="宋体" w:cs="宋体" w:hint="eastAsia"/>
          <w:kern w:val="2"/>
          <w:sz w:val="24"/>
        </w:rPr>
        <w:t>债权</w:t>
      </w:r>
      <w:r w:rsidR="00B05E98">
        <w:rPr>
          <w:rFonts w:ascii="宋体" w:eastAsia="宋体" w:hAnsi="宋体" w:cs="宋体" w:hint="eastAsia"/>
          <w:kern w:val="2"/>
          <w:sz w:val="24"/>
        </w:rPr>
        <w:t>进行</w:t>
      </w:r>
      <w:r>
        <w:rPr>
          <w:rFonts w:ascii="宋体" w:eastAsia="宋体" w:hAnsi="宋体" w:cs="宋体" w:hint="eastAsia"/>
          <w:kern w:val="2"/>
          <w:sz w:val="24"/>
        </w:rPr>
        <w:t>了价值</w:t>
      </w:r>
      <w:r w:rsidR="00C8426A">
        <w:rPr>
          <w:rFonts w:ascii="宋体" w:eastAsia="宋体" w:hAnsi="宋体" w:cs="宋体" w:hint="eastAsia"/>
          <w:kern w:val="2"/>
          <w:sz w:val="24"/>
        </w:rPr>
        <w:t>咨询</w:t>
      </w:r>
      <w:r w:rsidR="00B05E98">
        <w:rPr>
          <w:rFonts w:ascii="宋体" w:eastAsia="宋体" w:hAnsi="宋体" w:cs="宋体" w:hint="eastAsia"/>
          <w:kern w:val="2"/>
          <w:sz w:val="24"/>
        </w:rPr>
        <w:t>，现将情况报告如下：</w:t>
      </w:r>
    </w:p>
    <w:p w14:paraId="027884E6" w14:textId="77777777" w:rsidR="005C4B91" w:rsidRDefault="005C4B91">
      <w:pPr>
        <w:pStyle w:val="aa"/>
        <w:ind w:firstLine="480"/>
        <w:rPr>
          <w:rFonts w:ascii="宋体" w:eastAsia="宋体" w:hAnsi="宋体" w:cs="宋体" w:hint="eastAsia"/>
          <w:kern w:val="2"/>
          <w:sz w:val="24"/>
        </w:rPr>
      </w:pPr>
    </w:p>
    <w:p w14:paraId="648F19DC" w14:textId="77777777" w:rsidR="005C4B91" w:rsidRDefault="00000000">
      <w:pPr>
        <w:pStyle w:val="2"/>
        <w:snapToGrid w:val="0"/>
        <w:ind w:firstLine="0"/>
        <w:rPr>
          <w:rFonts w:ascii="Times New Roman" w:hAnsi="Times New Roman"/>
        </w:rPr>
      </w:pPr>
      <w:bookmarkStart w:id="0" w:name="_Toc304290510"/>
      <w:bookmarkStart w:id="1" w:name="_Toc303848373"/>
      <w:bookmarkStart w:id="2" w:name="_Toc2678124"/>
      <w:bookmarkStart w:id="3" w:name="_Toc2518089"/>
      <w:bookmarkStart w:id="4" w:name="_Toc211694557"/>
      <w:r>
        <w:rPr>
          <w:rFonts w:ascii="Times New Roman" w:hAnsi="Times New Roman" w:hint="eastAsia"/>
        </w:rPr>
        <w:t>一、</w:t>
      </w:r>
      <w:r>
        <w:rPr>
          <w:rFonts w:ascii="Times New Roman" w:hAnsi="Times New Roman"/>
        </w:rPr>
        <w:t>委托人</w:t>
      </w:r>
      <w:r>
        <w:rPr>
          <w:rFonts w:ascii="Times New Roman" w:hAnsi="Times New Roman" w:hint="eastAsia"/>
        </w:rPr>
        <w:t>（产权持有人）</w:t>
      </w:r>
      <w:bookmarkEnd w:id="0"/>
      <w:bookmarkEnd w:id="1"/>
      <w:r>
        <w:rPr>
          <w:rFonts w:ascii="Times New Roman" w:hAnsi="Times New Roman"/>
        </w:rPr>
        <w:t>概况</w:t>
      </w:r>
      <w:bookmarkEnd w:id="2"/>
      <w:bookmarkEnd w:id="3"/>
      <w:bookmarkEnd w:id="4"/>
    </w:p>
    <w:p w14:paraId="60DFF081" w14:textId="05738481" w:rsidR="005C4B91" w:rsidRDefault="00000000">
      <w:pPr>
        <w:pStyle w:val="aa"/>
        <w:ind w:firstLine="480"/>
        <w:rPr>
          <w:rFonts w:ascii="宋体" w:eastAsia="宋体" w:hAnsi="宋体" w:cs="宋体" w:hint="eastAsia"/>
          <w:kern w:val="2"/>
          <w:sz w:val="24"/>
        </w:rPr>
      </w:pPr>
      <w:bookmarkStart w:id="5" w:name="_Hlk2685437"/>
      <w:r>
        <w:rPr>
          <w:rFonts w:ascii="宋体" w:eastAsia="宋体" w:hAnsi="宋体" w:cs="宋体" w:hint="eastAsia"/>
          <w:kern w:val="2"/>
          <w:sz w:val="24"/>
        </w:rPr>
        <w:t>企业名称：</w:t>
      </w:r>
      <w:r w:rsidR="007E206F" w:rsidRPr="00577D76">
        <w:rPr>
          <w:rFonts w:ascii="宋体" w:eastAsia="宋体" w:hAnsi="宋体" w:cs="宋体" w:hint="eastAsia"/>
          <w:kern w:val="2"/>
          <w:sz w:val="24"/>
        </w:rPr>
        <w:t>江苏钟山典当有限责任公司</w:t>
      </w:r>
    </w:p>
    <w:p w14:paraId="0A1A5EB5" w14:textId="434CD532" w:rsidR="005C4B91" w:rsidRDefault="00000000">
      <w:pPr>
        <w:pStyle w:val="aa"/>
        <w:ind w:firstLine="480"/>
        <w:rPr>
          <w:rFonts w:ascii="宋体" w:eastAsia="宋体" w:hAnsi="宋体" w:cs="宋体" w:hint="eastAsia"/>
          <w:kern w:val="2"/>
          <w:sz w:val="24"/>
        </w:rPr>
      </w:pPr>
      <w:r>
        <w:rPr>
          <w:rFonts w:ascii="宋体" w:eastAsia="宋体" w:hAnsi="宋体" w:cs="宋体" w:hint="eastAsia"/>
          <w:kern w:val="2"/>
          <w:sz w:val="24"/>
        </w:rPr>
        <w:t>经营场所：</w:t>
      </w:r>
      <w:r w:rsidR="00577D76" w:rsidRPr="00577D76">
        <w:rPr>
          <w:rFonts w:ascii="宋体" w:eastAsia="宋体" w:hAnsi="宋体" w:cs="宋体"/>
          <w:kern w:val="2"/>
          <w:sz w:val="24"/>
        </w:rPr>
        <w:t>南京市建邺区庐山路158号嘉业国际城4幢1104室</w:t>
      </w:r>
    </w:p>
    <w:p w14:paraId="30AFF110" w14:textId="2FEA1C4F" w:rsidR="005C4B91" w:rsidRDefault="00000000">
      <w:pPr>
        <w:pStyle w:val="aa"/>
        <w:ind w:firstLine="480"/>
        <w:rPr>
          <w:rFonts w:ascii="宋体" w:eastAsia="宋体" w:hAnsi="宋体" w:cs="宋体" w:hint="eastAsia"/>
          <w:kern w:val="2"/>
          <w:sz w:val="24"/>
        </w:rPr>
      </w:pPr>
      <w:r>
        <w:rPr>
          <w:rFonts w:ascii="宋体" w:eastAsia="宋体" w:hAnsi="宋体" w:cs="宋体" w:hint="eastAsia"/>
          <w:kern w:val="2"/>
          <w:sz w:val="24"/>
        </w:rPr>
        <w:t>法定代表人：</w:t>
      </w:r>
      <w:hyperlink r:id="rId14" w:tgtFrame="_blank" w:history="1">
        <w:r w:rsidR="00577D76" w:rsidRPr="00577D76">
          <w:t>李昌浩</w:t>
        </w:r>
      </w:hyperlink>
    </w:p>
    <w:p w14:paraId="68BFCC33" w14:textId="759BB87A" w:rsidR="005C4B91" w:rsidRDefault="00000000">
      <w:pPr>
        <w:pStyle w:val="aa"/>
        <w:ind w:firstLine="480"/>
        <w:rPr>
          <w:rFonts w:ascii="宋体" w:eastAsia="宋体" w:hAnsi="宋体" w:cs="宋体" w:hint="eastAsia"/>
          <w:kern w:val="2"/>
          <w:sz w:val="24"/>
        </w:rPr>
      </w:pPr>
      <w:r>
        <w:rPr>
          <w:rFonts w:ascii="宋体" w:eastAsia="宋体" w:hAnsi="宋体" w:cs="宋体" w:hint="eastAsia"/>
          <w:kern w:val="2"/>
          <w:sz w:val="24"/>
        </w:rPr>
        <w:t>注册资本：</w:t>
      </w:r>
      <w:r w:rsidR="00577D76" w:rsidRPr="00577D76">
        <w:rPr>
          <w:rFonts w:ascii="宋体" w:eastAsia="宋体" w:hAnsi="宋体" w:cs="宋体"/>
          <w:kern w:val="2"/>
          <w:sz w:val="24"/>
        </w:rPr>
        <w:t>15000万人民币</w:t>
      </w:r>
    </w:p>
    <w:p w14:paraId="115B4945" w14:textId="5C6503F5" w:rsidR="00577D76" w:rsidRPr="00577D76" w:rsidRDefault="00000000" w:rsidP="00577D76">
      <w:pPr>
        <w:pStyle w:val="aa"/>
        <w:ind w:firstLine="480"/>
        <w:rPr>
          <w:rFonts w:ascii="宋体" w:eastAsia="宋体" w:hAnsi="宋体" w:cs="宋体" w:hint="eastAsia"/>
          <w:kern w:val="2"/>
          <w:sz w:val="24"/>
        </w:rPr>
      </w:pPr>
      <w:r>
        <w:rPr>
          <w:rFonts w:ascii="宋体" w:eastAsia="宋体" w:hAnsi="宋体" w:cs="宋体" w:hint="eastAsia"/>
          <w:kern w:val="2"/>
          <w:sz w:val="24"/>
        </w:rPr>
        <w:t>企业性质：</w:t>
      </w:r>
      <w:r w:rsidR="00577D76" w:rsidRPr="00577D76">
        <w:rPr>
          <w:rFonts w:ascii="宋体" w:eastAsia="宋体" w:hAnsi="宋体" w:cs="宋体"/>
          <w:kern w:val="2"/>
          <w:sz w:val="24"/>
        </w:rPr>
        <w:t>有限责任公司</w:t>
      </w:r>
    </w:p>
    <w:p w14:paraId="0C760BA8" w14:textId="72010DF0" w:rsidR="005C4B91" w:rsidRDefault="00000000">
      <w:pPr>
        <w:pStyle w:val="aa"/>
        <w:ind w:firstLine="480"/>
        <w:rPr>
          <w:rFonts w:ascii="宋体" w:eastAsia="宋体" w:hAnsi="宋体" w:cs="宋体" w:hint="eastAsia"/>
          <w:kern w:val="2"/>
          <w:sz w:val="24"/>
        </w:rPr>
      </w:pPr>
      <w:r>
        <w:rPr>
          <w:rFonts w:ascii="宋体" w:eastAsia="宋体" w:hAnsi="宋体" w:cs="宋体" w:hint="eastAsia"/>
          <w:kern w:val="2"/>
          <w:sz w:val="24"/>
        </w:rPr>
        <w:t>主要经营范围：</w:t>
      </w:r>
      <w:bookmarkEnd w:id="5"/>
      <w:r w:rsidR="007E206F">
        <w:rPr>
          <w:rFonts w:ascii="宋体" w:eastAsia="宋体" w:hAnsi="宋体" w:cs="宋体" w:hint="eastAsia"/>
          <w:kern w:val="2"/>
          <w:sz w:val="24"/>
        </w:rPr>
        <w:t xml:space="preserve"> </w:t>
      </w:r>
      <w:r w:rsidR="00577D76" w:rsidRPr="00577D76">
        <w:rPr>
          <w:rFonts w:ascii="宋体" w:eastAsia="宋体" w:hAnsi="宋体" w:cs="宋体"/>
          <w:kern w:val="2"/>
          <w:sz w:val="24"/>
        </w:rPr>
        <w:t>质押典当；房地产抵押典当；限额内绝当物品的变卖；鉴定评估及咨询服务；国家经贸委依法批准的其他业务。（依法须经批准的项目，经相关部门批准后方可开展经营活动）</w:t>
      </w:r>
      <w:r w:rsidR="00586839">
        <w:rPr>
          <w:rFonts w:ascii="宋体" w:eastAsia="宋体" w:hAnsi="宋体" w:cs="宋体" w:hint="eastAsia"/>
          <w:kern w:val="2"/>
          <w:sz w:val="24"/>
        </w:rPr>
        <w:t>。</w:t>
      </w:r>
    </w:p>
    <w:p w14:paraId="27A9D1A6" w14:textId="77777777" w:rsidR="005C4B91" w:rsidRDefault="005C4B91">
      <w:pPr>
        <w:pStyle w:val="aa"/>
        <w:ind w:firstLine="480"/>
        <w:rPr>
          <w:rFonts w:ascii="宋体" w:eastAsia="宋体" w:hAnsi="宋体" w:cs="宋体" w:hint="eastAsia"/>
          <w:kern w:val="2"/>
          <w:sz w:val="24"/>
        </w:rPr>
      </w:pPr>
    </w:p>
    <w:p w14:paraId="38DC87D3" w14:textId="229EC4D7" w:rsidR="005C4B91" w:rsidRDefault="00000000">
      <w:pPr>
        <w:pStyle w:val="2"/>
        <w:snapToGrid w:val="0"/>
        <w:ind w:firstLine="0"/>
        <w:rPr>
          <w:rFonts w:ascii="Times New Roman" w:hAnsi="Times New Roman"/>
        </w:rPr>
      </w:pPr>
      <w:bookmarkStart w:id="6" w:name="_Toc304290511"/>
      <w:bookmarkStart w:id="7" w:name="_Toc2518090"/>
      <w:bookmarkStart w:id="8" w:name="_Toc2678125"/>
      <w:bookmarkStart w:id="9" w:name="_Toc284660090"/>
      <w:bookmarkStart w:id="10" w:name="_Toc262426835"/>
      <w:bookmarkStart w:id="11" w:name="_Toc284660048"/>
      <w:bookmarkStart w:id="12" w:name="_Toc302487596"/>
      <w:bookmarkStart w:id="13" w:name="_Toc267862685"/>
      <w:bookmarkStart w:id="14" w:name="_Toc303848374"/>
      <w:bookmarkStart w:id="15" w:name="_Toc211694558"/>
      <w:r>
        <w:rPr>
          <w:rFonts w:ascii="Times New Roman" w:hAnsi="Times New Roman"/>
        </w:rPr>
        <w:t>二、</w:t>
      </w:r>
      <w:r w:rsidR="00577D76">
        <w:rPr>
          <w:rFonts w:ascii="Times New Roman" w:hAnsi="Times New Roman" w:hint="eastAsia"/>
        </w:rPr>
        <w:t>价值咨询</w:t>
      </w:r>
      <w:r>
        <w:rPr>
          <w:rFonts w:ascii="Times New Roman" w:hAnsi="Times New Roman"/>
        </w:rPr>
        <w:t>目的</w:t>
      </w:r>
      <w:bookmarkEnd w:id="6"/>
      <w:bookmarkEnd w:id="7"/>
      <w:bookmarkEnd w:id="8"/>
      <w:bookmarkEnd w:id="9"/>
      <w:bookmarkEnd w:id="10"/>
      <w:bookmarkEnd w:id="11"/>
      <w:bookmarkEnd w:id="12"/>
      <w:bookmarkEnd w:id="13"/>
      <w:bookmarkEnd w:id="14"/>
      <w:bookmarkEnd w:id="15"/>
    </w:p>
    <w:p w14:paraId="0FBCACEC" w14:textId="29A3B0F2" w:rsidR="00577D76" w:rsidRDefault="00577D76">
      <w:pPr>
        <w:pStyle w:val="aa"/>
        <w:ind w:firstLine="480"/>
        <w:rPr>
          <w:rFonts w:ascii="宋体" w:eastAsia="宋体" w:hAnsi="宋体" w:cs="宋体" w:hint="eastAsia"/>
          <w:sz w:val="24"/>
        </w:rPr>
      </w:pPr>
      <w:bookmarkStart w:id="16" w:name="_Hlk2686056"/>
      <w:r>
        <w:rPr>
          <w:rFonts w:ascii="宋体" w:eastAsia="宋体" w:hAnsi="宋体" w:cs="宋体" w:hint="eastAsia"/>
          <w:sz w:val="24"/>
        </w:rPr>
        <w:t>为</w:t>
      </w:r>
      <w:r w:rsidRPr="00577D76">
        <w:rPr>
          <w:rFonts w:ascii="宋体" w:eastAsia="宋体" w:hAnsi="宋体" w:cs="宋体" w:hint="eastAsia"/>
          <w:kern w:val="2"/>
          <w:sz w:val="24"/>
        </w:rPr>
        <w:t>江苏钟山典当有限责任公司</w:t>
      </w:r>
      <w:r>
        <w:rPr>
          <w:rFonts w:ascii="宋体" w:eastAsia="宋体" w:hAnsi="宋体" w:cs="宋体" w:hint="eastAsia"/>
          <w:sz w:val="24"/>
        </w:rPr>
        <w:t>拟转让债权提供价值咨询参考。</w:t>
      </w:r>
    </w:p>
    <w:p w14:paraId="54429D18" w14:textId="77777777" w:rsidR="00577D76" w:rsidRDefault="00577D76">
      <w:pPr>
        <w:pStyle w:val="aa"/>
        <w:ind w:firstLine="480"/>
        <w:rPr>
          <w:rFonts w:ascii="宋体" w:eastAsia="宋体" w:hAnsi="宋体" w:cs="宋体" w:hint="eastAsia"/>
          <w:sz w:val="24"/>
        </w:rPr>
      </w:pPr>
    </w:p>
    <w:p w14:paraId="1A9186E0" w14:textId="39E26867" w:rsidR="00577D76" w:rsidRDefault="00577D76">
      <w:pPr>
        <w:pStyle w:val="2"/>
        <w:snapToGrid w:val="0"/>
        <w:ind w:firstLine="0"/>
        <w:rPr>
          <w:rFonts w:ascii="Times New Roman" w:hAnsi="Times New Roman"/>
        </w:rPr>
      </w:pPr>
      <w:bookmarkStart w:id="17" w:name="_Toc211694559"/>
      <w:r>
        <w:rPr>
          <w:rFonts w:ascii="Times New Roman" w:hAnsi="Times New Roman" w:hint="eastAsia"/>
        </w:rPr>
        <w:t>三、价值咨询基准日</w:t>
      </w:r>
      <w:bookmarkEnd w:id="17"/>
    </w:p>
    <w:p w14:paraId="5BEFFB17" w14:textId="712ED378" w:rsidR="00577D76" w:rsidRDefault="00577D76">
      <w:pPr>
        <w:pStyle w:val="aa"/>
        <w:ind w:firstLine="480"/>
        <w:rPr>
          <w:rFonts w:ascii="宋体" w:eastAsia="宋体" w:hAnsi="宋体" w:cs="宋体" w:hint="eastAsia"/>
          <w:sz w:val="24"/>
        </w:rPr>
      </w:pPr>
      <w:r>
        <w:rPr>
          <w:rFonts w:ascii="宋体" w:eastAsia="宋体" w:hAnsi="宋体" w:cs="宋体" w:hint="eastAsia"/>
          <w:sz w:val="24"/>
        </w:rPr>
        <w:t>本次的</w:t>
      </w:r>
      <w:r w:rsidR="00C8426A">
        <w:rPr>
          <w:rFonts w:ascii="宋体" w:eastAsia="宋体" w:hAnsi="宋体" w:cs="宋体" w:hint="eastAsia"/>
          <w:sz w:val="24"/>
        </w:rPr>
        <w:t>价值咨询</w:t>
      </w:r>
      <w:r>
        <w:rPr>
          <w:rFonts w:ascii="宋体" w:eastAsia="宋体" w:hAnsi="宋体" w:cs="宋体" w:hint="eastAsia"/>
          <w:sz w:val="24"/>
        </w:rPr>
        <w:t>基准日为2</w:t>
      </w:r>
      <w:r>
        <w:rPr>
          <w:rFonts w:ascii="宋体" w:eastAsia="宋体" w:hAnsi="宋体" w:cs="宋体"/>
          <w:sz w:val="24"/>
        </w:rPr>
        <w:t>02</w:t>
      </w:r>
      <w:r>
        <w:rPr>
          <w:rFonts w:ascii="宋体" w:eastAsia="宋体" w:hAnsi="宋体" w:cs="宋体" w:hint="eastAsia"/>
          <w:sz w:val="24"/>
        </w:rPr>
        <w:t>5年10月16日。</w:t>
      </w:r>
    </w:p>
    <w:p w14:paraId="208098A5" w14:textId="77777777" w:rsidR="00577D76" w:rsidRDefault="00577D76">
      <w:pPr>
        <w:pStyle w:val="aa"/>
        <w:ind w:firstLine="480"/>
        <w:rPr>
          <w:rFonts w:ascii="宋体" w:eastAsia="宋体" w:hAnsi="宋体" w:cs="宋体" w:hint="eastAsia"/>
          <w:sz w:val="24"/>
        </w:rPr>
      </w:pPr>
    </w:p>
    <w:p w14:paraId="5ED6BA50" w14:textId="6B317C94" w:rsidR="005C4B91" w:rsidRDefault="00577D76">
      <w:pPr>
        <w:pStyle w:val="2"/>
        <w:snapToGrid w:val="0"/>
        <w:ind w:firstLine="0"/>
        <w:rPr>
          <w:rFonts w:ascii="Times New Roman" w:hAnsi="Times New Roman"/>
        </w:rPr>
      </w:pPr>
      <w:bookmarkStart w:id="18" w:name="_Toc2678126"/>
      <w:bookmarkStart w:id="19" w:name="_Toc2518091"/>
      <w:bookmarkStart w:id="20" w:name="_Toc211694560"/>
      <w:bookmarkEnd w:id="16"/>
      <w:r>
        <w:rPr>
          <w:rFonts w:ascii="Times New Roman" w:hAnsi="Times New Roman" w:hint="eastAsia"/>
        </w:rPr>
        <w:t>四</w:t>
      </w:r>
      <w:r>
        <w:rPr>
          <w:rFonts w:ascii="Times New Roman" w:hAnsi="Times New Roman"/>
        </w:rPr>
        <w:t>、</w:t>
      </w:r>
      <w:r>
        <w:rPr>
          <w:rFonts w:ascii="Times New Roman" w:hAnsi="Times New Roman" w:hint="eastAsia"/>
        </w:rPr>
        <w:t>价值咨询</w:t>
      </w:r>
      <w:r>
        <w:rPr>
          <w:rFonts w:ascii="Times New Roman" w:hAnsi="Times New Roman"/>
        </w:rPr>
        <w:t>对象和</w:t>
      </w:r>
      <w:r>
        <w:rPr>
          <w:rFonts w:ascii="Times New Roman" w:hAnsi="Times New Roman" w:hint="eastAsia"/>
        </w:rPr>
        <w:t>价值咨询</w:t>
      </w:r>
      <w:r>
        <w:rPr>
          <w:rFonts w:ascii="Times New Roman" w:hAnsi="Times New Roman"/>
        </w:rPr>
        <w:t>范围</w:t>
      </w:r>
      <w:bookmarkEnd w:id="18"/>
      <w:bookmarkEnd w:id="19"/>
      <w:bookmarkEnd w:id="20"/>
    </w:p>
    <w:p w14:paraId="09FAB346" w14:textId="4530E76B" w:rsidR="00C8426A" w:rsidRPr="00C8426A" w:rsidRDefault="00C8426A" w:rsidP="00C8426A">
      <w:pPr>
        <w:pStyle w:val="aa"/>
        <w:ind w:firstLine="480"/>
        <w:rPr>
          <w:rFonts w:ascii="宋体" w:eastAsia="宋体" w:hAnsi="宋体" w:cs="宋体" w:hint="eastAsia"/>
          <w:sz w:val="24"/>
        </w:rPr>
      </w:pPr>
      <w:r w:rsidRPr="00C8426A">
        <w:rPr>
          <w:rFonts w:ascii="宋体" w:eastAsia="宋体" w:hAnsi="宋体" w:cs="宋体" w:hint="eastAsia"/>
          <w:sz w:val="24"/>
        </w:rPr>
        <w:t>根据2023</w:t>
      </w:r>
      <w:r w:rsidRPr="00C8426A">
        <w:rPr>
          <w:rFonts w:ascii="宋体" w:eastAsia="宋体" w:hAnsi="宋体" w:cs="宋体"/>
          <w:sz w:val="24"/>
        </w:rPr>
        <w:t>年</w:t>
      </w:r>
      <w:r w:rsidRPr="00C8426A">
        <w:rPr>
          <w:rFonts w:ascii="宋体" w:eastAsia="宋体" w:hAnsi="宋体" w:cs="宋体" w:hint="eastAsia"/>
          <w:sz w:val="24"/>
        </w:rPr>
        <w:t>4</w:t>
      </w:r>
      <w:r w:rsidRPr="00C8426A">
        <w:rPr>
          <w:rFonts w:ascii="宋体" w:eastAsia="宋体" w:hAnsi="宋体" w:cs="宋体"/>
          <w:sz w:val="24"/>
        </w:rPr>
        <w:t>月</w:t>
      </w:r>
      <w:r w:rsidRPr="00C8426A">
        <w:rPr>
          <w:rFonts w:ascii="宋体" w:eastAsia="宋体" w:hAnsi="宋体" w:cs="宋体" w:hint="eastAsia"/>
          <w:sz w:val="24"/>
        </w:rPr>
        <w:t>6日安徽龙越生态旅游开发有限公司临时管理人债权审查确认书，</w:t>
      </w:r>
      <w:r w:rsidRPr="00577D76">
        <w:rPr>
          <w:rFonts w:ascii="宋体" w:eastAsia="宋体" w:hAnsi="宋体" w:cs="宋体" w:hint="eastAsia"/>
          <w:kern w:val="2"/>
          <w:sz w:val="24"/>
        </w:rPr>
        <w:t>江苏钟山典当有限责任公司</w:t>
      </w:r>
      <w:r w:rsidRPr="00C8426A">
        <w:rPr>
          <w:rFonts w:ascii="宋体" w:eastAsia="宋体" w:hAnsi="宋体" w:cs="宋体"/>
          <w:sz w:val="24"/>
        </w:rPr>
        <w:t>享有对</w:t>
      </w:r>
      <w:r w:rsidRPr="00C8426A">
        <w:rPr>
          <w:rFonts w:ascii="宋体" w:eastAsia="宋体" w:hAnsi="宋体" w:cs="宋体" w:hint="eastAsia"/>
          <w:sz w:val="24"/>
        </w:rPr>
        <w:t>债务人</w:t>
      </w:r>
      <w:r w:rsidRPr="00C8426A">
        <w:rPr>
          <w:rFonts w:ascii="宋体" w:eastAsia="宋体" w:hAnsi="宋体" w:cs="宋体"/>
          <w:sz w:val="24"/>
        </w:rPr>
        <w:t>安徽龙越生态旅游开发有限公司</w:t>
      </w:r>
      <w:r>
        <w:rPr>
          <w:rFonts w:ascii="宋体" w:eastAsia="宋体" w:hAnsi="宋体" w:cs="宋体" w:hint="eastAsia"/>
          <w:sz w:val="24"/>
        </w:rPr>
        <w:t>的</w:t>
      </w:r>
      <w:r w:rsidRPr="00C8426A">
        <w:rPr>
          <w:rFonts w:ascii="宋体" w:eastAsia="宋体" w:hAnsi="宋体" w:cs="宋体"/>
          <w:sz w:val="24"/>
        </w:rPr>
        <w:t>债权</w:t>
      </w:r>
      <w:r w:rsidRPr="00C8426A">
        <w:rPr>
          <w:rFonts w:ascii="宋体" w:eastAsia="宋体" w:hAnsi="宋体" w:cs="宋体" w:hint="eastAsia"/>
          <w:sz w:val="24"/>
        </w:rPr>
        <w:t>金额为</w:t>
      </w:r>
      <w:r w:rsidRPr="00C8426A">
        <w:rPr>
          <w:rFonts w:ascii="宋体" w:eastAsia="宋体" w:hAnsi="宋体" w:cs="宋体"/>
          <w:sz w:val="24"/>
        </w:rPr>
        <w:t>48,798,005.89</w:t>
      </w:r>
      <w:r w:rsidRPr="00C8426A">
        <w:rPr>
          <w:rFonts w:ascii="宋体" w:eastAsia="宋体" w:hAnsi="宋体" w:cs="宋体" w:hint="eastAsia"/>
          <w:sz w:val="24"/>
        </w:rPr>
        <w:t>元</w:t>
      </w:r>
      <w:r>
        <w:rPr>
          <w:rFonts w:ascii="宋体" w:eastAsia="宋体" w:hAnsi="宋体" w:cs="宋体" w:hint="eastAsia"/>
          <w:sz w:val="24"/>
        </w:rPr>
        <w:t>，</w:t>
      </w:r>
      <w:r w:rsidRPr="00C8426A">
        <w:rPr>
          <w:rFonts w:ascii="宋体" w:eastAsia="宋体" w:hAnsi="宋体" w:cs="宋体" w:hint="eastAsia"/>
          <w:sz w:val="24"/>
        </w:rPr>
        <w:t>该项债权资产明细</w:t>
      </w:r>
      <w:r w:rsidRPr="00C8426A">
        <w:rPr>
          <w:rFonts w:ascii="宋体" w:eastAsia="宋体" w:hAnsi="宋体" w:cs="宋体"/>
          <w:sz w:val="24"/>
        </w:rPr>
        <w:t>如下：</w:t>
      </w:r>
    </w:p>
    <w:p w14:paraId="2DAF0F3E" w14:textId="77777777" w:rsidR="00C8426A" w:rsidRDefault="00C8426A" w:rsidP="00C8426A">
      <w:pPr>
        <w:pStyle w:val="af1"/>
        <w:suppressAutoHyphens/>
        <w:adjustRightInd w:val="0"/>
        <w:snapToGrid w:val="0"/>
        <w:spacing w:afterLines="50" w:after="156" w:line="360" w:lineRule="auto"/>
        <w:ind w:leftChars="0" w:left="0" w:firstLineChars="200" w:firstLine="480"/>
        <w:rPr>
          <w:rFonts w:ascii="Times New Roman" w:hAnsi="Times New Roman"/>
          <w:kern w:val="0"/>
          <w:sz w:val="24"/>
          <w:szCs w:val="28"/>
        </w:rPr>
      </w:pPr>
    </w:p>
    <w:tbl>
      <w:tblPr>
        <w:tblStyle w:val="af3"/>
        <w:tblpPr w:leftFromText="180" w:rightFromText="180" w:vertAnchor="text" w:horzAnchor="margin" w:tblpXSpec="center" w:tblpY="452"/>
        <w:tblW w:w="0" w:type="auto"/>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Look w:val="04A0" w:firstRow="1" w:lastRow="0" w:firstColumn="1" w:lastColumn="0" w:noHBand="0" w:noVBand="1"/>
      </w:tblPr>
      <w:tblGrid>
        <w:gridCol w:w="1134"/>
        <w:gridCol w:w="1984"/>
        <w:gridCol w:w="4180"/>
      </w:tblGrid>
      <w:tr w:rsidR="00C8426A" w14:paraId="35A45EE7" w14:textId="77777777" w:rsidTr="00D10697">
        <w:tc>
          <w:tcPr>
            <w:tcW w:w="1134" w:type="dxa"/>
            <w:shd w:val="clear" w:color="auto" w:fill="E7E6E6" w:themeFill="background2"/>
            <w:vAlign w:val="center"/>
          </w:tcPr>
          <w:p w14:paraId="5A8DBFB9" w14:textId="77777777" w:rsidR="00C8426A" w:rsidRDefault="00C8426A" w:rsidP="00D10697">
            <w:pPr>
              <w:pStyle w:val="af1"/>
              <w:adjustRightInd w:val="0"/>
              <w:snapToGrid w:val="0"/>
              <w:ind w:leftChars="0" w:left="0"/>
              <w:jc w:val="center"/>
              <w:rPr>
                <w:rFonts w:ascii="Times New Roman" w:hAnsi="Times New Roman"/>
                <w:b/>
                <w:szCs w:val="22"/>
              </w:rPr>
            </w:pPr>
            <w:r>
              <w:rPr>
                <w:rFonts w:ascii="Times New Roman" w:hAnsi="Times New Roman" w:hint="eastAsia"/>
                <w:b/>
                <w:szCs w:val="22"/>
              </w:rPr>
              <w:lastRenderedPageBreak/>
              <w:t>序号</w:t>
            </w:r>
          </w:p>
        </w:tc>
        <w:tc>
          <w:tcPr>
            <w:tcW w:w="1984" w:type="dxa"/>
            <w:shd w:val="clear" w:color="auto" w:fill="E7E6E6" w:themeFill="background2"/>
            <w:vAlign w:val="center"/>
          </w:tcPr>
          <w:p w14:paraId="0B00F0F5" w14:textId="77777777" w:rsidR="00C8426A" w:rsidRDefault="00C8426A" w:rsidP="00D10697">
            <w:pPr>
              <w:pStyle w:val="af1"/>
              <w:adjustRightInd w:val="0"/>
              <w:snapToGrid w:val="0"/>
              <w:ind w:leftChars="0" w:left="0"/>
              <w:jc w:val="center"/>
              <w:rPr>
                <w:rFonts w:ascii="Times New Roman" w:hAnsi="Times New Roman"/>
                <w:b/>
                <w:szCs w:val="22"/>
              </w:rPr>
            </w:pPr>
            <w:r>
              <w:rPr>
                <w:rFonts w:ascii="Times New Roman" w:hAnsi="Times New Roman" w:hint="eastAsia"/>
                <w:b/>
                <w:szCs w:val="22"/>
              </w:rPr>
              <w:t>性质</w:t>
            </w:r>
          </w:p>
        </w:tc>
        <w:tc>
          <w:tcPr>
            <w:tcW w:w="4180" w:type="dxa"/>
            <w:shd w:val="clear" w:color="auto" w:fill="E7E6E6" w:themeFill="background2"/>
            <w:vAlign w:val="center"/>
          </w:tcPr>
          <w:p w14:paraId="3E289336" w14:textId="77777777" w:rsidR="00C8426A" w:rsidRDefault="00C8426A" w:rsidP="00D10697">
            <w:pPr>
              <w:pStyle w:val="af1"/>
              <w:adjustRightInd w:val="0"/>
              <w:snapToGrid w:val="0"/>
              <w:ind w:leftChars="0" w:left="0"/>
              <w:jc w:val="center"/>
              <w:rPr>
                <w:rFonts w:ascii="Times New Roman" w:hAnsi="Times New Roman"/>
                <w:b/>
                <w:szCs w:val="22"/>
              </w:rPr>
            </w:pPr>
            <w:r>
              <w:rPr>
                <w:rFonts w:ascii="Times New Roman" w:hAnsi="Times New Roman" w:hint="eastAsia"/>
                <w:b/>
                <w:szCs w:val="22"/>
              </w:rPr>
              <w:t>金额（元）</w:t>
            </w:r>
          </w:p>
        </w:tc>
      </w:tr>
      <w:tr w:rsidR="00C8426A" w14:paraId="0642D2D3" w14:textId="77777777" w:rsidTr="00D10697">
        <w:tc>
          <w:tcPr>
            <w:tcW w:w="1134" w:type="dxa"/>
            <w:vAlign w:val="center"/>
          </w:tcPr>
          <w:p w14:paraId="7DD9870D" w14:textId="77777777" w:rsidR="00C8426A" w:rsidRDefault="00C8426A" w:rsidP="00D10697">
            <w:pPr>
              <w:pStyle w:val="af1"/>
              <w:adjustRightInd w:val="0"/>
              <w:snapToGrid w:val="0"/>
              <w:ind w:leftChars="0" w:left="0"/>
              <w:jc w:val="center"/>
              <w:rPr>
                <w:rFonts w:ascii="Times New Roman" w:hAnsi="Times New Roman"/>
                <w:szCs w:val="22"/>
              </w:rPr>
            </w:pPr>
            <w:r>
              <w:rPr>
                <w:rFonts w:ascii="Times New Roman" w:hAnsi="Times New Roman" w:hint="eastAsia"/>
                <w:szCs w:val="22"/>
              </w:rPr>
              <w:t>1</w:t>
            </w:r>
          </w:p>
        </w:tc>
        <w:tc>
          <w:tcPr>
            <w:tcW w:w="1984" w:type="dxa"/>
            <w:vAlign w:val="center"/>
          </w:tcPr>
          <w:p w14:paraId="1D1EF456" w14:textId="77777777" w:rsidR="00C8426A" w:rsidRDefault="00C8426A" w:rsidP="00D10697">
            <w:pPr>
              <w:pStyle w:val="af1"/>
              <w:adjustRightInd w:val="0"/>
              <w:snapToGrid w:val="0"/>
              <w:ind w:leftChars="-112" w:left="0" w:hangingChars="112" w:hanging="235"/>
              <w:jc w:val="center"/>
              <w:rPr>
                <w:rFonts w:ascii="Times New Roman" w:hAnsi="Times New Roman"/>
                <w:szCs w:val="22"/>
              </w:rPr>
            </w:pPr>
            <w:r>
              <w:rPr>
                <w:rFonts w:ascii="Times New Roman" w:hAnsi="Times New Roman" w:hint="eastAsia"/>
                <w:szCs w:val="22"/>
              </w:rPr>
              <w:t>剩余本金</w:t>
            </w:r>
          </w:p>
        </w:tc>
        <w:tc>
          <w:tcPr>
            <w:tcW w:w="4180" w:type="dxa"/>
            <w:vAlign w:val="center"/>
          </w:tcPr>
          <w:p w14:paraId="47904F66" w14:textId="77777777" w:rsidR="00C8426A" w:rsidRDefault="00C8426A" w:rsidP="00D10697">
            <w:pPr>
              <w:pStyle w:val="af1"/>
              <w:adjustRightInd w:val="0"/>
              <w:snapToGrid w:val="0"/>
              <w:ind w:leftChars="0" w:left="0"/>
              <w:jc w:val="right"/>
              <w:rPr>
                <w:rFonts w:ascii="Times New Roman" w:hAnsi="Times New Roman"/>
                <w:szCs w:val="22"/>
              </w:rPr>
            </w:pPr>
            <w:r>
              <w:rPr>
                <w:rFonts w:ascii="Times New Roman" w:hAnsi="Times New Roman"/>
                <w:szCs w:val="22"/>
              </w:rPr>
              <w:t>9,500,000.00</w:t>
            </w:r>
          </w:p>
        </w:tc>
      </w:tr>
      <w:tr w:rsidR="00C8426A" w14:paraId="3851939A" w14:textId="77777777" w:rsidTr="00D10697">
        <w:tc>
          <w:tcPr>
            <w:tcW w:w="1134" w:type="dxa"/>
            <w:vAlign w:val="center"/>
          </w:tcPr>
          <w:p w14:paraId="4C9EA92A" w14:textId="77777777" w:rsidR="00C8426A" w:rsidRDefault="00C8426A" w:rsidP="00D10697">
            <w:pPr>
              <w:pStyle w:val="af1"/>
              <w:adjustRightInd w:val="0"/>
              <w:snapToGrid w:val="0"/>
              <w:ind w:leftChars="0" w:left="0"/>
              <w:jc w:val="center"/>
              <w:rPr>
                <w:rFonts w:ascii="Times New Roman" w:hAnsi="Times New Roman"/>
                <w:szCs w:val="22"/>
              </w:rPr>
            </w:pPr>
            <w:r>
              <w:rPr>
                <w:rFonts w:ascii="Times New Roman" w:hAnsi="Times New Roman" w:hint="eastAsia"/>
                <w:szCs w:val="22"/>
              </w:rPr>
              <w:t>2</w:t>
            </w:r>
          </w:p>
        </w:tc>
        <w:tc>
          <w:tcPr>
            <w:tcW w:w="1984" w:type="dxa"/>
            <w:vAlign w:val="center"/>
          </w:tcPr>
          <w:p w14:paraId="7DCC9927" w14:textId="77777777" w:rsidR="00C8426A" w:rsidRDefault="00C8426A" w:rsidP="00D10697">
            <w:pPr>
              <w:pStyle w:val="af1"/>
              <w:adjustRightInd w:val="0"/>
              <w:snapToGrid w:val="0"/>
              <w:ind w:leftChars="0" w:left="0"/>
              <w:jc w:val="center"/>
              <w:rPr>
                <w:rFonts w:ascii="Times New Roman" w:hAnsi="Times New Roman"/>
                <w:szCs w:val="22"/>
              </w:rPr>
            </w:pPr>
            <w:r>
              <w:rPr>
                <w:rFonts w:ascii="Times New Roman" w:hAnsi="Times New Roman" w:hint="eastAsia"/>
                <w:szCs w:val="22"/>
              </w:rPr>
              <w:t>剩余综合费用</w:t>
            </w:r>
          </w:p>
        </w:tc>
        <w:tc>
          <w:tcPr>
            <w:tcW w:w="4180" w:type="dxa"/>
            <w:vAlign w:val="center"/>
          </w:tcPr>
          <w:p w14:paraId="2D1C78C3" w14:textId="77777777" w:rsidR="00C8426A" w:rsidRDefault="00C8426A" w:rsidP="00D10697">
            <w:pPr>
              <w:pStyle w:val="af1"/>
              <w:adjustRightInd w:val="0"/>
              <w:snapToGrid w:val="0"/>
              <w:ind w:leftChars="0" w:left="0"/>
              <w:jc w:val="right"/>
              <w:rPr>
                <w:rFonts w:ascii="Times New Roman" w:hAnsi="Times New Roman"/>
                <w:szCs w:val="22"/>
              </w:rPr>
            </w:pPr>
            <w:r>
              <w:rPr>
                <w:rFonts w:ascii="Times New Roman" w:hAnsi="Times New Roman"/>
                <w:szCs w:val="22"/>
              </w:rPr>
              <w:t>28,343,749.99</w:t>
            </w:r>
          </w:p>
        </w:tc>
      </w:tr>
      <w:tr w:rsidR="00C8426A" w14:paraId="79E98B19" w14:textId="77777777" w:rsidTr="00D10697">
        <w:tc>
          <w:tcPr>
            <w:tcW w:w="1134" w:type="dxa"/>
            <w:vAlign w:val="center"/>
          </w:tcPr>
          <w:p w14:paraId="2C984EB7" w14:textId="77777777" w:rsidR="00C8426A" w:rsidRDefault="00C8426A" w:rsidP="00D10697">
            <w:pPr>
              <w:pStyle w:val="af1"/>
              <w:adjustRightInd w:val="0"/>
              <w:snapToGrid w:val="0"/>
              <w:ind w:leftChars="0" w:left="0"/>
              <w:jc w:val="center"/>
              <w:rPr>
                <w:rFonts w:ascii="Times New Roman" w:hAnsi="Times New Roman"/>
                <w:szCs w:val="22"/>
              </w:rPr>
            </w:pPr>
            <w:r>
              <w:rPr>
                <w:rFonts w:ascii="Times New Roman" w:hAnsi="Times New Roman" w:hint="eastAsia"/>
                <w:szCs w:val="22"/>
              </w:rPr>
              <w:t>3</w:t>
            </w:r>
          </w:p>
        </w:tc>
        <w:tc>
          <w:tcPr>
            <w:tcW w:w="1984" w:type="dxa"/>
            <w:vAlign w:val="center"/>
          </w:tcPr>
          <w:p w14:paraId="6A109F2A" w14:textId="77777777" w:rsidR="00C8426A" w:rsidRDefault="00C8426A" w:rsidP="00D10697">
            <w:pPr>
              <w:pStyle w:val="af1"/>
              <w:adjustRightInd w:val="0"/>
              <w:snapToGrid w:val="0"/>
              <w:ind w:leftChars="0" w:left="0"/>
              <w:jc w:val="center"/>
              <w:rPr>
                <w:rFonts w:ascii="Times New Roman" w:hAnsi="Times New Roman"/>
                <w:szCs w:val="22"/>
              </w:rPr>
            </w:pPr>
            <w:r>
              <w:rPr>
                <w:rFonts w:ascii="Times New Roman" w:hAnsi="Times New Roman" w:hint="eastAsia"/>
                <w:szCs w:val="22"/>
              </w:rPr>
              <w:t>违约金</w:t>
            </w:r>
          </w:p>
        </w:tc>
        <w:tc>
          <w:tcPr>
            <w:tcW w:w="4180" w:type="dxa"/>
            <w:vAlign w:val="center"/>
          </w:tcPr>
          <w:p w14:paraId="1AB7028D" w14:textId="77777777" w:rsidR="00C8426A" w:rsidRDefault="00C8426A" w:rsidP="00D10697">
            <w:pPr>
              <w:pStyle w:val="af1"/>
              <w:adjustRightInd w:val="0"/>
              <w:snapToGrid w:val="0"/>
              <w:ind w:leftChars="0" w:left="0"/>
              <w:jc w:val="right"/>
              <w:rPr>
                <w:rFonts w:ascii="Times New Roman" w:hAnsi="Times New Roman"/>
                <w:szCs w:val="22"/>
              </w:rPr>
            </w:pPr>
            <w:r>
              <w:rPr>
                <w:rFonts w:ascii="Times New Roman" w:hAnsi="Times New Roman"/>
                <w:szCs w:val="22"/>
              </w:rPr>
              <w:t>10,677,623.90</w:t>
            </w:r>
          </w:p>
        </w:tc>
      </w:tr>
      <w:tr w:rsidR="00C8426A" w14:paraId="36B045E8" w14:textId="77777777" w:rsidTr="00D10697">
        <w:tc>
          <w:tcPr>
            <w:tcW w:w="1134" w:type="dxa"/>
            <w:vAlign w:val="center"/>
          </w:tcPr>
          <w:p w14:paraId="0F8A40E9" w14:textId="77777777" w:rsidR="00C8426A" w:rsidRDefault="00C8426A" w:rsidP="00D10697">
            <w:pPr>
              <w:pStyle w:val="af1"/>
              <w:adjustRightInd w:val="0"/>
              <w:snapToGrid w:val="0"/>
              <w:ind w:leftChars="0" w:left="0"/>
              <w:jc w:val="center"/>
              <w:rPr>
                <w:rFonts w:ascii="Times New Roman" w:hAnsi="Times New Roman"/>
                <w:szCs w:val="22"/>
              </w:rPr>
            </w:pPr>
            <w:r>
              <w:rPr>
                <w:rFonts w:ascii="Times New Roman" w:hAnsi="Times New Roman" w:hint="eastAsia"/>
                <w:szCs w:val="22"/>
              </w:rPr>
              <w:t>4</w:t>
            </w:r>
          </w:p>
        </w:tc>
        <w:tc>
          <w:tcPr>
            <w:tcW w:w="1984" w:type="dxa"/>
            <w:vAlign w:val="center"/>
          </w:tcPr>
          <w:p w14:paraId="45E8E3D1" w14:textId="77777777" w:rsidR="00C8426A" w:rsidRDefault="00C8426A" w:rsidP="00D10697">
            <w:pPr>
              <w:pStyle w:val="af1"/>
              <w:adjustRightInd w:val="0"/>
              <w:snapToGrid w:val="0"/>
              <w:ind w:leftChars="0" w:left="0"/>
              <w:jc w:val="center"/>
              <w:rPr>
                <w:rFonts w:ascii="Times New Roman" w:hAnsi="Times New Roman"/>
                <w:szCs w:val="22"/>
              </w:rPr>
            </w:pPr>
            <w:r>
              <w:rPr>
                <w:rFonts w:ascii="Times New Roman" w:hAnsi="Times New Roman" w:hint="eastAsia"/>
                <w:szCs w:val="22"/>
              </w:rPr>
              <w:t>律师费</w:t>
            </w:r>
          </w:p>
        </w:tc>
        <w:tc>
          <w:tcPr>
            <w:tcW w:w="4180" w:type="dxa"/>
            <w:vAlign w:val="center"/>
          </w:tcPr>
          <w:p w14:paraId="1278931C" w14:textId="77777777" w:rsidR="00C8426A" w:rsidRDefault="00C8426A" w:rsidP="00D10697">
            <w:pPr>
              <w:pStyle w:val="af1"/>
              <w:adjustRightInd w:val="0"/>
              <w:snapToGrid w:val="0"/>
              <w:ind w:leftChars="0" w:left="0"/>
              <w:jc w:val="right"/>
              <w:rPr>
                <w:rFonts w:ascii="Times New Roman" w:hAnsi="Times New Roman"/>
                <w:szCs w:val="22"/>
              </w:rPr>
            </w:pPr>
            <w:r>
              <w:rPr>
                <w:rFonts w:ascii="Times New Roman" w:hAnsi="Times New Roman"/>
                <w:szCs w:val="22"/>
              </w:rPr>
              <w:t>177,100.00</w:t>
            </w:r>
          </w:p>
        </w:tc>
      </w:tr>
      <w:tr w:rsidR="00C8426A" w14:paraId="584DF503" w14:textId="77777777" w:rsidTr="00D10697">
        <w:tc>
          <w:tcPr>
            <w:tcW w:w="1134" w:type="dxa"/>
            <w:vAlign w:val="center"/>
          </w:tcPr>
          <w:p w14:paraId="2376999E" w14:textId="77777777" w:rsidR="00C8426A" w:rsidRDefault="00C8426A" w:rsidP="00D10697">
            <w:pPr>
              <w:pStyle w:val="af1"/>
              <w:adjustRightInd w:val="0"/>
              <w:snapToGrid w:val="0"/>
              <w:ind w:leftChars="0" w:left="0"/>
              <w:jc w:val="center"/>
              <w:rPr>
                <w:rFonts w:ascii="Times New Roman" w:hAnsi="Times New Roman"/>
                <w:szCs w:val="22"/>
              </w:rPr>
            </w:pPr>
            <w:r>
              <w:rPr>
                <w:rFonts w:ascii="Times New Roman" w:hAnsi="Times New Roman" w:hint="eastAsia"/>
                <w:szCs w:val="22"/>
              </w:rPr>
              <w:t>5</w:t>
            </w:r>
          </w:p>
        </w:tc>
        <w:tc>
          <w:tcPr>
            <w:tcW w:w="1984" w:type="dxa"/>
            <w:vAlign w:val="center"/>
          </w:tcPr>
          <w:p w14:paraId="17F00F0E" w14:textId="77777777" w:rsidR="00C8426A" w:rsidRDefault="00C8426A" w:rsidP="00D10697">
            <w:pPr>
              <w:pStyle w:val="af1"/>
              <w:adjustRightInd w:val="0"/>
              <w:snapToGrid w:val="0"/>
              <w:ind w:leftChars="0" w:left="0"/>
              <w:jc w:val="center"/>
              <w:rPr>
                <w:rFonts w:ascii="Times New Roman" w:hAnsi="Times New Roman"/>
                <w:szCs w:val="22"/>
              </w:rPr>
            </w:pPr>
            <w:r>
              <w:rPr>
                <w:rFonts w:ascii="Times New Roman" w:hAnsi="Times New Roman" w:hint="eastAsia"/>
                <w:szCs w:val="22"/>
              </w:rPr>
              <w:t>案件费</w:t>
            </w:r>
          </w:p>
        </w:tc>
        <w:tc>
          <w:tcPr>
            <w:tcW w:w="4180" w:type="dxa"/>
            <w:vAlign w:val="center"/>
          </w:tcPr>
          <w:p w14:paraId="6F7E3897" w14:textId="77777777" w:rsidR="00C8426A" w:rsidRDefault="00C8426A" w:rsidP="00D10697">
            <w:pPr>
              <w:pStyle w:val="af1"/>
              <w:adjustRightInd w:val="0"/>
              <w:snapToGrid w:val="0"/>
              <w:ind w:leftChars="0" w:left="0"/>
              <w:jc w:val="right"/>
              <w:rPr>
                <w:rFonts w:ascii="Times New Roman" w:hAnsi="Times New Roman"/>
                <w:szCs w:val="22"/>
              </w:rPr>
            </w:pPr>
            <w:r>
              <w:rPr>
                <w:rFonts w:ascii="Times New Roman" w:hAnsi="Times New Roman"/>
                <w:szCs w:val="22"/>
              </w:rPr>
              <w:t>99,532.00</w:t>
            </w:r>
          </w:p>
        </w:tc>
      </w:tr>
      <w:tr w:rsidR="00C8426A" w14:paraId="31D14FD6" w14:textId="77777777" w:rsidTr="00D10697">
        <w:tc>
          <w:tcPr>
            <w:tcW w:w="3118" w:type="dxa"/>
            <w:gridSpan w:val="2"/>
            <w:vAlign w:val="center"/>
          </w:tcPr>
          <w:p w14:paraId="41BD4D2E" w14:textId="77777777" w:rsidR="00C8426A" w:rsidRDefault="00C8426A" w:rsidP="00D10697">
            <w:pPr>
              <w:pStyle w:val="af1"/>
              <w:adjustRightInd w:val="0"/>
              <w:snapToGrid w:val="0"/>
              <w:ind w:leftChars="0" w:left="0"/>
              <w:jc w:val="center"/>
              <w:rPr>
                <w:rFonts w:ascii="Times New Roman" w:hAnsi="Times New Roman"/>
                <w:szCs w:val="22"/>
              </w:rPr>
            </w:pPr>
            <w:r>
              <w:rPr>
                <w:rFonts w:ascii="Times New Roman" w:hAnsi="Times New Roman" w:hint="eastAsia"/>
                <w:b/>
                <w:bCs/>
                <w:szCs w:val="22"/>
              </w:rPr>
              <w:t>合计</w:t>
            </w:r>
          </w:p>
        </w:tc>
        <w:tc>
          <w:tcPr>
            <w:tcW w:w="4180" w:type="dxa"/>
            <w:vAlign w:val="center"/>
          </w:tcPr>
          <w:p w14:paraId="1646B66E" w14:textId="77777777" w:rsidR="00C8426A" w:rsidRDefault="00C8426A" w:rsidP="00D10697">
            <w:pPr>
              <w:pStyle w:val="af1"/>
              <w:adjustRightInd w:val="0"/>
              <w:snapToGrid w:val="0"/>
              <w:ind w:leftChars="0" w:left="0"/>
              <w:jc w:val="right"/>
              <w:rPr>
                <w:rFonts w:ascii="Times New Roman" w:hAnsi="Times New Roman"/>
                <w:szCs w:val="22"/>
              </w:rPr>
            </w:pPr>
            <w:r>
              <w:rPr>
                <w:rFonts w:ascii="Times New Roman" w:hAnsi="Times New Roman"/>
                <w:b/>
                <w:bCs/>
                <w:szCs w:val="22"/>
              </w:rPr>
              <w:t>48,798,005.89</w:t>
            </w:r>
          </w:p>
        </w:tc>
      </w:tr>
    </w:tbl>
    <w:p w14:paraId="0651BB80" w14:textId="77777777" w:rsidR="00C8426A" w:rsidRDefault="00C8426A" w:rsidP="00C8426A">
      <w:pPr>
        <w:pStyle w:val="af1"/>
        <w:suppressAutoHyphens/>
        <w:adjustRightInd w:val="0"/>
        <w:snapToGrid w:val="0"/>
        <w:spacing w:afterLines="50" w:after="156" w:line="360" w:lineRule="auto"/>
        <w:ind w:leftChars="0" w:left="0" w:firstLineChars="200" w:firstLine="480"/>
        <w:rPr>
          <w:rFonts w:ascii="Times New Roman" w:hAnsi="Times New Roman"/>
          <w:kern w:val="0"/>
          <w:sz w:val="24"/>
          <w:szCs w:val="28"/>
        </w:rPr>
      </w:pPr>
    </w:p>
    <w:p w14:paraId="040AD58F" w14:textId="26FDD1CC" w:rsidR="005C4B91" w:rsidRDefault="003573EF">
      <w:pPr>
        <w:pStyle w:val="2"/>
        <w:snapToGrid w:val="0"/>
        <w:ind w:firstLine="0"/>
        <w:rPr>
          <w:rFonts w:ascii="Times New Roman" w:hAnsi="Times New Roman"/>
        </w:rPr>
      </w:pPr>
      <w:bookmarkStart w:id="21" w:name="_Toc211694561"/>
      <w:r>
        <w:rPr>
          <w:rFonts w:ascii="Times New Roman" w:hAnsi="Times New Roman" w:hint="eastAsia"/>
        </w:rPr>
        <w:t>五</w:t>
      </w:r>
      <w:r>
        <w:rPr>
          <w:rFonts w:ascii="Times New Roman" w:hAnsi="Times New Roman"/>
        </w:rPr>
        <w:t>、</w:t>
      </w:r>
      <w:r w:rsidR="00577D76">
        <w:rPr>
          <w:rFonts w:ascii="Times New Roman" w:hAnsi="Times New Roman" w:hint="eastAsia"/>
        </w:rPr>
        <w:t>价值咨询</w:t>
      </w:r>
      <w:r w:rsidR="002165BE">
        <w:rPr>
          <w:rFonts w:ascii="Times New Roman" w:hAnsi="Times New Roman" w:hint="eastAsia"/>
        </w:rPr>
        <w:t>方法及</w:t>
      </w:r>
      <w:r>
        <w:rPr>
          <w:rFonts w:ascii="Times New Roman" w:hAnsi="Times New Roman" w:hint="eastAsia"/>
        </w:rPr>
        <w:t>过程</w:t>
      </w:r>
      <w:bookmarkEnd w:id="21"/>
    </w:p>
    <w:p w14:paraId="3CB5AC1A" w14:textId="2D80A680" w:rsidR="00B016D8" w:rsidRDefault="00B016D8" w:rsidP="00D10697">
      <w:pPr>
        <w:pStyle w:val="aa"/>
        <w:ind w:firstLine="480"/>
        <w:rPr>
          <w:rFonts w:ascii="宋体" w:eastAsia="宋体" w:hAnsi="宋体" w:cs="宋体" w:hint="eastAsia"/>
          <w:sz w:val="24"/>
        </w:rPr>
      </w:pPr>
      <w:r>
        <w:rPr>
          <w:rFonts w:ascii="宋体" w:eastAsia="宋体" w:hAnsi="宋体" w:cs="宋体" w:hint="eastAsia"/>
          <w:sz w:val="24"/>
        </w:rPr>
        <w:t>通常情况债权价值评估会根据对债务人企业的较为全面的了解和财务分析，采用假设清算法、现金流偿债法、交易案例比较法、专家打分法等进行评估。</w:t>
      </w:r>
    </w:p>
    <w:p w14:paraId="2419F3A4" w14:textId="726245D8" w:rsidR="00577D76" w:rsidRDefault="00D10697" w:rsidP="00D10697">
      <w:pPr>
        <w:pStyle w:val="aa"/>
        <w:ind w:firstLine="480"/>
        <w:rPr>
          <w:rFonts w:ascii="宋体" w:eastAsia="宋体" w:hAnsi="宋体" w:cs="宋体" w:hint="eastAsia"/>
          <w:sz w:val="24"/>
        </w:rPr>
      </w:pPr>
      <w:r w:rsidRPr="00D10697">
        <w:rPr>
          <w:rFonts w:ascii="宋体" w:eastAsia="宋体" w:hAnsi="宋体" w:cs="宋体" w:hint="eastAsia"/>
          <w:sz w:val="24"/>
        </w:rPr>
        <w:t>根据价值咨询人员了解，安徽龙越生态旅游开发有限公司由于经营不善，</w:t>
      </w:r>
      <w:r w:rsidR="00586839" w:rsidRPr="00D10697">
        <w:rPr>
          <w:rFonts w:ascii="宋体" w:eastAsia="宋体" w:hAnsi="宋体" w:cs="宋体" w:hint="eastAsia"/>
          <w:sz w:val="24"/>
        </w:rPr>
        <w:t>宣城市宣州区人民法院</w:t>
      </w:r>
      <w:r w:rsidRPr="00D10697">
        <w:rPr>
          <w:rFonts w:ascii="宋体" w:eastAsia="宋体" w:hAnsi="宋体" w:cs="宋体" w:hint="eastAsia"/>
          <w:sz w:val="24"/>
        </w:rPr>
        <w:t>已经于</w:t>
      </w:r>
      <w:r w:rsidRPr="00D10697">
        <w:rPr>
          <w:rFonts w:ascii="宋体" w:eastAsia="宋体" w:hAnsi="宋体" w:cs="宋体"/>
          <w:sz w:val="24"/>
        </w:rPr>
        <w:t>2022</w:t>
      </w:r>
      <w:r w:rsidRPr="00D10697">
        <w:rPr>
          <w:rFonts w:ascii="宋体" w:eastAsia="宋体" w:hAnsi="宋体" w:cs="宋体" w:hint="eastAsia"/>
          <w:sz w:val="24"/>
        </w:rPr>
        <w:t>年</w:t>
      </w:r>
      <w:r w:rsidRPr="00D10697">
        <w:rPr>
          <w:rFonts w:ascii="宋体" w:eastAsia="宋体" w:hAnsi="宋体" w:cs="宋体"/>
          <w:sz w:val="24"/>
        </w:rPr>
        <w:t>10</w:t>
      </w:r>
      <w:r w:rsidRPr="00D10697">
        <w:rPr>
          <w:rFonts w:ascii="宋体" w:eastAsia="宋体" w:hAnsi="宋体" w:cs="宋体" w:hint="eastAsia"/>
          <w:sz w:val="24"/>
        </w:rPr>
        <w:t>月</w:t>
      </w:r>
      <w:r w:rsidRPr="00D10697">
        <w:rPr>
          <w:rFonts w:ascii="宋体" w:eastAsia="宋体" w:hAnsi="宋体" w:cs="宋体"/>
          <w:sz w:val="24"/>
        </w:rPr>
        <w:t>12</w:t>
      </w:r>
      <w:r w:rsidRPr="00D10697">
        <w:rPr>
          <w:rFonts w:ascii="宋体" w:eastAsia="宋体" w:hAnsi="宋体" w:cs="宋体" w:hint="eastAsia"/>
          <w:sz w:val="24"/>
        </w:rPr>
        <w:t>日受理安徽龙越生态旅游开发有限公司和安徽良门孝道养老服务有限公司合并预重整，并指定安徽今昔律师事务所为临时管理人</w:t>
      </w:r>
      <w:r w:rsidRPr="00D10697">
        <w:rPr>
          <w:rFonts w:ascii="宋体" w:eastAsia="宋体" w:hAnsi="宋体" w:cs="宋体"/>
          <w:sz w:val="24"/>
        </w:rPr>
        <w:t>。</w:t>
      </w:r>
    </w:p>
    <w:p w14:paraId="1FB16771" w14:textId="27584667" w:rsidR="00D10697" w:rsidRDefault="00D10697" w:rsidP="00D10697">
      <w:pPr>
        <w:pStyle w:val="aa"/>
        <w:ind w:firstLine="480"/>
        <w:rPr>
          <w:rFonts w:ascii="宋体" w:eastAsia="宋体" w:hAnsi="宋体" w:cs="宋体" w:hint="eastAsia"/>
          <w:sz w:val="24"/>
        </w:rPr>
      </w:pPr>
      <w:r w:rsidRPr="00577D76">
        <w:rPr>
          <w:rFonts w:ascii="宋体" w:eastAsia="宋体" w:hAnsi="宋体" w:cs="宋体" w:hint="eastAsia"/>
          <w:kern w:val="2"/>
          <w:sz w:val="24"/>
        </w:rPr>
        <w:t>江苏钟山典当有限责任公司</w:t>
      </w:r>
      <w:r>
        <w:rPr>
          <w:rFonts w:ascii="宋体" w:eastAsia="宋体" w:hAnsi="宋体" w:cs="宋体" w:hint="eastAsia"/>
          <w:kern w:val="2"/>
          <w:sz w:val="24"/>
        </w:rPr>
        <w:t>相关人员和本公司咨询人员于</w:t>
      </w:r>
      <w:r>
        <w:rPr>
          <w:rFonts w:ascii="宋体" w:eastAsia="宋体" w:hAnsi="宋体" w:cs="宋体"/>
          <w:kern w:val="2"/>
          <w:sz w:val="24"/>
        </w:rPr>
        <w:t>2025年10月1</w:t>
      </w:r>
      <w:r>
        <w:rPr>
          <w:rFonts w:ascii="宋体" w:eastAsia="宋体" w:hAnsi="宋体" w:cs="宋体" w:hint="eastAsia"/>
          <w:kern w:val="2"/>
          <w:sz w:val="24"/>
        </w:rPr>
        <w:t>6</w:t>
      </w:r>
      <w:r>
        <w:rPr>
          <w:rFonts w:ascii="宋体" w:eastAsia="宋体" w:hAnsi="宋体" w:cs="宋体"/>
          <w:kern w:val="2"/>
          <w:sz w:val="24"/>
        </w:rPr>
        <w:t>日</w:t>
      </w:r>
      <w:r>
        <w:rPr>
          <w:rFonts w:ascii="宋体" w:eastAsia="宋体" w:hAnsi="宋体" w:cs="宋体" w:hint="eastAsia"/>
          <w:kern w:val="2"/>
          <w:sz w:val="24"/>
        </w:rPr>
        <w:t>和2025年</w:t>
      </w:r>
      <w:r>
        <w:rPr>
          <w:rFonts w:ascii="宋体" w:eastAsia="宋体" w:hAnsi="宋体" w:cs="宋体"/>
          <w:kern w:val="2"/>
          <w:sz w:val="24"/>
        </w:rPr>
        <w:t>10月</w:t>
      </w:r>
      <w:r>
        <w:rPr>
          <w:rFonts w:ascii="宋体" w:eastAsia="宋体" w:hAnsi="宋体" w:cs="宋体" w:hint="eastAsia"/>
          <w:kern w:val="2"/>
          <w:sz w:val="24"/>
        </w:rPr>
        <w:t>20</w:t>
      </w:r>
      <w:r>
        <w:rPr>
          <w:rFonts w:ascii="宋体" w:eastAsia="宋体" w:hAnsi="宋体" w:cs="宋体"/>
          <w:kern w:val="2"/>
          <w:sz w:val="24"/>
        </w:rPr>
        <w:t>日</w:t>
      </w:r>
      <w:r>
        <w:rPr>
          <w:rFonts w:ascii="宋体" w:eastAsia="宋体" w:hAnsi="宋体" w:cs="宋体" w:hint="eastAsia"/>
          <w:kern w:val="2"/>
          <w:sz w:val="24"/>
        </w:rPr>
        <w:t>实地走访了</w:t>
      </w:r>
      <w:r w:rsidRPr="00D10697">
        <w:rPr>
          <w:rFonts w:ascii="宋体" w:eastAsia="宋体" w:hAnsi="宋体" w:cs="宋体" w:hint="eastAsia"/>
          <w:sz w:val="24"/>
        </w:rPr>
        <w:t>安徽今昔律师事务所</w:t>
      </w:r>
      <w:r>
        <w:rPr>
          <w:rFonts w:ascii="宋体" w:eastAsia="宋体" w:hAnsi="宋体" w:cs="宋体" w:hint="eastAsia"/>
          <w:sz w:val="24"/>
        </w:rPr>
        <w:t>和</w:t>
      </w:r>
      <w:r w:rsidRPr="00D10697">
        <w:rPr>
          <w:rFonts w:ascii="宋体" w:eastAsia="宋体" w:hAnsi="宋体" w:cs="宋体" w:hint="eastAsia"/>
          <w:sz w:val="24"/>
        </w:rPr>
        <w:t>安徽龙越生态旅游开发有限公司</w:t>
      </w:r>
      <w:r>
        <w:rPr>
          <w:rFonts w:ascii="宋体" w:eastAsia="宋体" w:hAnsi="宋体" w:cs="宋体" w:hint="eastAsia"/>
          <w:sz w:val="24"/>
        </w:rPr>
        <w:t>营业场所</w:t>
      </w:r>
      <w:r w:rsidR="009C7819">
        <w:rPr>
          <w:rFonts w:ascii="宋体" w:eastAsia="宋体" w:hAnsi="宋体" w:cs="宋体" w:hint="eastAsia"/>
          <w:sz w:val="24"/>
        </w:rPr>
        <w:t>，并去当地工商部门调阅企业年检材料</w:t>
      </w:r>
      <w:r>
        <w:rPr>
          <w:rFonts w:ascii="宋体" w:eastAsia="宋体" w:hAnsi="宋体" w:cs="宋体" w:hint="eastAsia"/>
          <w:sz w:val="24"/>
        </w:rPr>
        <w:t>，均未取得</w:t>
      </w:r>
      <w:r w:rsidR="009E36E6" w:rsidRPr="00D10697">
        <w:rPr>
          <w:rFonts w:ascii="宋体" w:eastAsia="宋体" w:hAnsi="宋体" w:cs="宋体" w:hint="eastAsia"/>
          <w:sz w:val="24"/>
        </w:rPr>
        <w:t>安徽龙越生态旅游开发有限公司</w:t>
      </w:r>
      <w:r w:rsidR="009E36E6">
        <w:rPr>
          <w:rFonts w:ascii="宋体" w:eastAsia="宋体" w:hAnsi="宋体" w:cs="宋体" w:hint="eastAsia"/>
          <w:sz w:val="24"/>
        </w:rPr>
        <w:t>的财务报表</w:t>
      </w:r>
      <w:r w:rsidR="00B016D8">
        <w:rPr>
          <w:rFonts w:ascii="宋体" w:eastAsia="宋体" w:hAnsi="宋体" w:cs="宋体" w:hint="eastAsia"/>
          <w:sz w:val="24"/>
        </w:rPr>
        <w:t>和</w:t>
      </w:r>
      <w:r w:rsidR="00BD63D6">
        <w:rPr>
          <w:rFonts w:ascii="宋体" w:eastAsia="宋体" w:hAnsi="宋体" w:cs="宋体" w:hint="eastAsia"/>
          <w:sz w:val="24"/>
        </w:rPr>
        <w:t>相</w:t>
      </w:r>
      <w:r w:rsidR="00B016D8">
        <w:rPr>
          <w:rFonts w:ascii="宋体" w:eastAsia="宋体" w:hAnsi="宋体" w:cs="宋体" w:hint="eastAsia"/>
          <w:sz w:val="24"/>
        </w:rPr>
        <w:t>关</w:t>
      </w:r>
      <w:r w:rsidR="00BD63D6">
        <w:rPr>
          <w:rFonts w:ascii="宋体" w:eastAsia="宋体" w:hAnsi="宋体" w:cs="宋体" w:hint="eastAsia"/>
          <w:sz w:val="24"/>
        </w:rPr>
        <w:t>经营情况的财务信息</w:t>
      </w:r>
      <w:r w:rsidR="009E36E6">
        <w:rPr>
          <w:rFonts w:ascii="宋体" w:eastAsia="宋体" w:hAnsi="宋体" w:cs="宋体" w:hint="eastAsia"/>
          <w:sz w:val="24"/>
        </w:rPr>
        <w:t>。</w:t>
      </w:r>
    </w:p>
    <w:p w14:paraId="1098F675" w14:textId="419D487B" w:rsidR="00D10697" w:rsidRPr="00BD63D6" w:rsidRDefault="00BD63D6" w:rsidP="00D10697">
      <w:pPr>
        <w:pStyle w:val="aa"/>
        <w:ind w:firstLine="480"/>
        <w:rPr>
          <w:rFonts w:ascii="宋体" w:eastAsia="宋体" w:hAnsi="宋体" w:cs="宋体" w:hint="eastAsia"/>
          <w:sz w:val="24"/>
        </w:rPr>
      </w:pPr>
      <w:r>
        <w:rPr>
          <w:rFonts w:ascii="宋体" w:eastAsia="宋体" w:hAnsi="宋体" w:cs="宋体" w:hint="eastAsia"/>
          <w:kern w:val="2"/>
          <w:sz w:val="24"/>
        </w:rPr>
        <w:t>咨询人员通过互联网公司登记网站公开信息查询获得如下信息：</w:t>
      </w:r>
    </w:p>
    <w:p w14:paraId="358390E5" w14:textId="77777777" w:rsidR="00634131" w:rsidRDefault="00634131" w:rsidP="00634131"/>
    <w:p w14:paraId="135A7F4E" w14:textId="77777777" w:rsidR="00634131" w:rsidRDefault="00634131" w:rsidP="00634131">
      <w:r w:rsidRPr="00C20CEA">
        <w:rPr>
          <w:noProof/>
        </w:rPr>
        <w:lastRenderedPageBreak/>
        <w:drawing>
          <wp:inline distT="0" distB="0" distL="0" distR="0" wp14:anchorId="7382EC42" wp14:editId="00AEA115">
            <wp:extent cx="5274310" cy="2897505"/>
            <wp:effectExtent l="0" t="0" r="2540" b="0"/>
            <wp:docPr id="4466849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84901" name=""/>
                    <pic:cNvPicPr/>
                  </pic:nvPicPr>
                  <pic:blipFill>
                    <a:blip r:embed="rId15"/>
                    <a:stretch>
                      <a:fillRect/>
                    </a:stretch>
                  </pic:blipFill>
                  <pic:spPr>
                    <a:xfrm>
                      <a:off x="0" y="0"/>
                      <a:ext cx="5274310" cy="2897505"/>
                    </a:xfrm>
                    <a:prstGeom prst="rect">
                      <a:avLst/>
                    </a:prstGeom>
                  </pic:spPr>
                </pic:pic>
              </a:graphicData>
            </a:graphic>
          </wp:inline>
        </w:drawing>
      </w:r>
    </w:p>
    <w:p w14:paraId="11D28C36" w14:textId="77777777" w:rsidR="00634131" w:rsidRDefault="00634131" w:rsidP="00634131"/>
    <w:p w14:paraId="5559A1EC" w14:textId="77777777" w:rsidR="00634131" w:rsidRDefault="00634131" w:rsidP="00634131">
      <w:r w:rsidRPr="00C20CEA">
        <w:rPr>
          <w:noProof/>
        </w:rPr>
        <w:drawing>
          <wp:inline distT="0" distB="0" distL="0" distR="0" wp14:anchorId="466654E8" wp14:editId="5ED41D8D">
            <wp:extent cx="5274310" cy="2534285"/>
            <wp:effectExtent l="0" t="0" r="2540" b="0"/>
            <wp:docPr id="17842031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03182" name=""/>
                    <pic:cNvPicPr/>
                  </pic:nvPicPr>
                  <pic:blipFill>
                    <a:blip r:embed="rId16"/>
                    <a:stretch>
                      <a:fillRect/>
                    </a:stretch>
                  </pic:blipFill>
                  <pic:spPr>
                    <a:xfrm>
                      <a:off x="0" y="0"/>
                      <a:ext cx="5274310" cy="2534285"/>
                    </a:xfrm>
                    <a:prstGeom prst="rect">
                      <a:avLst/>
                    </a:prstGeom>
                  </pic:spPr>
                </pic:pic>
              </a:graphicData>
            </a:graphic>
          </wp:inline>
        </w:drawing>
      </w:r>
    </w:p>
    <w:p w14:paraId="69401669" w14:textId="77777777" w:rsidR="00F57046" w:rsidRPr="00F57046" w:rsidRDefault="00F57046" w:rsidP="00F57046">
      <w:pPr>
        <w:pStyle w:val="a0"/>
        <w:rPr>
          <w:rFonts w:hint="eastAsia"/>
        </w:rPr>
      </w:pPr>
    </w:p>
    <w:p w14:paraId="5F8DCAF7" w14:textId="521D93F3" w:rsidR="00BD63D6" w:rsidRDefault="00F57046" w:rsidP="00F57046">
      <w:pPr>
        <w:pStyle w:val="aa"/>
        <w:ind w:firstLineChars="0" w:firstLine="0"/>
        <w:rPr>
          <w:rFonts w:ascii="宋体" w:eastAsia="宋体" w:hAnsi="宋体" w:cs="宋体" w:hint="eastAsia"/>
          <w:sz w:val="24"/>
        </w:rPr>
      </w:pPr>
      <w:r w:rsidRPr="00F57046">
        <w:rPr>
          <w:rFonts w:ascii="宋体" w:eastAsia="宋体" w:hAnsi="宋体" w:cs="宋体"/>
          <w:sz w:val="24"/>
        </w:rPr>
        <w:drawing>
          <wp:inline distT="0" distB="0" distL="0" distR="0" wp14:anchorId="53C1C497" wp14:editId="358643F8">
            <wp:extent cx="5274310" cy="1900555"/>
            <wp:effectExtent l="0" t="0" r="2540" b="4445"/>
            <wp:docPr id="11132804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80421" name=""/>
                    <pic:cNvPicPr/>
                  </pic:nvPicPr>
                  <pic:blipFill>
                    <a:blip r:embed="rId17"/>
                    <a:stretch>
                      <a:fillRect/>
                    </a:stretch>
                  </pic:blipFill>
                  <pic:spPr>
                    <a:xfrm>
                      <a:off x="0" y="0"/>
                      <a:ext cx="5274310" cy="1900555"/>
                    </a:xfrm>
                    <a:prstGeom prst="rect">
                      <a:avLst/>
                    </a:prstGeom>
                  </pic:spPr>
                </pic:pic>
              </a:graphicData>
            </a:graphic>
          </wp:inline>
        </w:drawing>
      </w:r>
    </w:p>
    <w:p w14:paraId="5B4F47D6" w14:textId="77777777" w:rsidR="00F57046" w:rsidRDefault="00F57046" w:rsidP="00D10697">
      <w:pPr>
        <w:pStyle w:val="aa"/>
        <w:ind w:firstLine="480"/>
        <w:rPr>
          <w:rFonts w:ascii="宋体" w:eastAsia="宋体" w:hAnsi="宋体" w:cs="宋体"/>
          <w:sz w:val="24"/>
        </w:rPr>
      </w:pPr>
    </w:p>
    <w:p w14:paraId="74385D55" w14:textId="3D35BEC6" w:rsidR="00BD63D6" w:rsidRDefault="00BD63D6" w:rsidP="00D10697">
      <w:pPr>
        <w:pStyle w:val="aa"/>
        <w:ind w:firstLine="480"/>
        <w:rPr>
          <w:rFonts w:ascii="宋体" w:eastAsia="宋体" w:hAnsi="宋体" w:cs="宋体" w:hint="eastAsia"/>
          <w:sz w:val="24"/>
        </w:rPr>
      </w:pPr>
      <w:r>
        <w:rPr>
          <w:rFonts w:ascii="宋体" w:eastAsia="宋体" w:hAnsi="宋体" w:cs="宋体" w:hint="eastAsia"/>
          <w:sz w:val="24"/>
        </w:rPr>
        <w:t>显示企业</w:t>
      </w:r>
      <w:r w:rsidR="00634131">
        <w:rPr>
          <w:rFonts w:ascii="宋体" w:eastAsia="宋体" w:hAnsi="宋体" w:cs="宋体" w:hint="eastAsia"/>
          <w:sz w:val="24"/>
        </w:rPr>
        <w:t>已经歇业</w:t>
      </w:r>
      <w:r>
        <w:rPr>
          <w:rFonts w:ascii="宋体" w:eastAsia="宋体" w:hAnsi="宋体" w:cs="宋体" w:hint="eastAsia"/>
          <w:sz w:val="24"/>
        </w:rPr>
        <w:t>，</w:t>
      </w:r>
      <w:r w:rsidR="00F57046">
        <w:rPr>
          <w:rFonts w:ascii="宋体" w:eastAsia="宋体" w:hAnsi="宋体" w:cs="宋体" w:hint="eastAsia"/>
          <w:sz w:val="24"/>
        </w:rPr>
        <w:t>近3年交社保人数为0，</w:t>
      </w:r>
      <w:r>
        <w:rPr>
          <w:rFonts w:ascii="宋体" w:eastAsia="宋体" w:hAnsi="宋体" w:cs="宋体" w:hint="eastAsia"/>
          <w:sz w:val="24"/>
        </w:rPr>
        <w:t>涉及司法案件</w:t>
      </w:r>
      <w:r w:rsidR="00F57046">
        <w:rPr>
          <w:rFonts w:ascii="宋体" w:eastAsia="宋体" w:hAnsi="宋体" w:cs="宋体" w:hint="eastAsia"/>
          <w:sz w:val="24"/>
        </w:rPr>
        <w:t>141件</w:t>
      </w:r>
      <w:r>
        <w:rPr>
          <w:rFonts w:ascii="宋体" w:eastAsia="宋体" w:hAnsi="宋体" w:cs="宋体" w:hint="eastAsia"/>
          <w:sz w:val="24"/>
        </w:rPr>
        <w:t>。</w:t>
      </w:r>
    </w:p>
    <w:p w14:paraId="44AC5723" w14:textId="77777777" w:rsidR="00D14DD4" w:rsidRDefault="009C7819" w:rsidP="00D10697">
      <w:pPr>
        <w:pStyle w:val="aa"/>
        <w:ind w:firstLine="480"/>
        <w:rPr>
          <w:rFonts w:ascii="宋体" w:eastAsia="宋体" w:hAnsi="宋体" w:cs="宋体" w:hint="eastAsia"/>
          <w:sz w:val="24"/>
        </w:rPr>
      </w:pPr>
      <w:r>
        <w:rPr>
          <w:rFonts w:ascii="宋体" w:eastAsia="宋体" w:hAnsi="宋体" w:cs="宋体" w:hint="eastAsia"/>
          <w:sz w:val="24"/>
        </w:rPr>
        <w:t>由于经履行必要的程序，咨询人员无法获得</w:t>
      </w:r>
      <w:r w:rsidRPr="00D10697">
        <w:rPr>
          <w:rFonts w:ascii="宋体" w:eastAsia="宋体" w:hAnsi="宋体" w:cs="宋体" w:hint="eastAsia"/>
          <w:sz w:val="24"/>
        </w:rPr>
        <w:t>安徽龙越生态旅游开发有限公司</w:t>
      </w:r>
      <w:r>
        <w:rPr>
          <w:rFonts w:ascii="宋体" w:eastAsia="宋体" w:hAnsi="宋体" w:cs="宋体" w:hint="eastAsia"/>
          <w:sz w:val="24"/>
        </w:rPr>
        <w:lastRenderedPageBreak/>
        <w:t>的财务信息资料，咨询人员无法按通常程序对</w:t>
      </w:r>
      <w:r w:rsidRPr="00577D76">
        <w:rPr>
          <w:rFonts w:ascii="宋体" w:eastAsia="宋体" w:hAnsi="宋体" w:cs="宋体" w:hint="eastAsia"/>
          <w:kern w:val="2"/>
          <w:sz w:val="24"/>
        </w:rPr>
        <w:t>江苏钟山典当有限责任公司</w:t>
      </w:r>
      <w:r>
        <w:rPr>
          <w:rFonts w:ascii="宋体" w:eastAsia="宋体" w:hAnsi="宋体" w:cs="宋体" w:hint="eastAsia"/>
          <w:kern w:val="2"/>
          <w:sz w:val="24"/>
        </w:rPr>
        <w:t>持有的</w:t>
      </w:r>
      <w:r w:rsidRPr="00D10697">
        <w:rPr>
          <w:rFonts w:ascii="宋体" w:eastAsia="宋体" w:hAnsi="宋体" w:cs="宋体" w:hint="eastAsia"/>
          <w:sz w:val="24"/>
        </w:rPr>
        <w:t>安徽龙越生态旅游开发有限公司</w:t>
      </w:r>
      <w:r>
        <w:rPr>
          <w:rFonts w:ascii="宋体" w:eastAsia="宋体" w:hAnsi="宋体" w:cs="宋体" w:hint="eastAsia"/>
          <w:sz w:val="24"/>
        </w:rPr>
        <w:t>的债权进行</w:t>
      </w:r>
      <w:r w:rsidR="00D14DD4">
        <w:rPr>
          <w:rFonts w:ascii="宋体" w:eastAsia="宋体" w:hAnsi="宋体" w:cs="宋体" w:hint="eastAsia"/>
          <w:sz w:val="24"/>
        </w:rPr>
        <w:t>企业偿债能力分析后</w:t>
      </w:r>
      <w:r>
        <w:rPr>
          <w:rFonts w:ascii="宋体" w:eastAsia="宋体" w:hAnsi="宋体" w:cs="宋体" w:hint="eastAsia"/>
          <w:sz w:val="24"/>
        </w:rPr>
        <w:t>评估</w:t>
      </w:r>
      <w:r w:rsidR="00D14DD4">
        <w:rPr>
          <w:rFonts w:ascii="宋体" w:eastAsia="宋体" w:hAnsi="宋体" w:cs="宋体" w:hint="eastAsia"/>
          <w:sz w:val="24"/>
        </w:rPr>
        <w:t>。</w:t>
      </w:r>
    </w:p>
    <w:p w14:paraId="0738D602" w14:textId="217386BA" w:rsidR="00BD63D6" w:rsidRDefault="009C7819" w:rsidP="00D10697">
      <w:pPr>
        <w:pStyle w:val="aa"/>
        <w:ind w:firstLine="480"/>
        <w:rPr>
          <w:rFonts w:ascii="宋体" w:eastAsia="宋体" w:hAnsi="宋体" w:cs="宋体" w:hint="eastAsia"/>
          <w:sz w:val="24"/>
        </w:rPr>
      </w:pPr>
      <w:r>
        <w:rPr>
          <w:rFonts w:ascii="宋体" w:eastAsia="宋体" w:hAnsi="宋体" w:cs="宋体" w:hint="eastAsia"/>
          <w:sz w:val="24"/>
        </w:rPr>
        <w:t>咨询人员经互联网查阅近2年来我国不良债权</w:t>
      </w:r>
      <w:r w:rsidR="00586839">
        <w:rPr>
          <w:rFonts w:ascii="宋体" w:eastAsia="宋体" w:hAnsi="宋体" w:cs="宋体" w:hint="eastAsia"/>
          <w:sz w:val="24"/>
        </w:rPr>
        <w:t>包</w:t>
      </w:r>
      <w:r>
        <w:rPr>
          <w:rFonts w:ascii="宋体" w:eastAsia="宋体" w:hAnsi="宋体" w:cs="宋体" w:hint="eastAsia"/>
          <w:sz w:val="24"/>
        </w:rPr>
        <w:t>资产交易的7</w:t>
      </w:r>
      <w:r w:rsidR="00D14DD4">
        <w:rPr>
          <w:rFonts w:ascii="宋体" w:eastAsia="宋体" w:hAnsi="宋体" w:cs="宋体" w:hint="eastAsia"/>
          <w:sz w:val="24"/>
        </w:rPr>
        <w:t>项统计</w:t>
      </w:r>
      <w:r>
        <w:rPr>
          <w:rFonts w:ascii="宋体" w:eastAsia="宋体" w:hAnsi="宋体" w:cs="宋体" w:hint="eastAsia"/>
          <w:sz w:val="24"/>
        </w:rPr>
        <w:t>公开信息，</w:t>
      </w:r>
      <w:r w:rsidR="004B324C">
        <w:rPr>
          <w:rFonts w:ascii="宋体" w:eastAsia="宋体" w:hAnsi="宋体" w:cs="宋体" w:hint="eastAsia"/>
          <w:sz w:val="24"/>
        </w:rPr>
        <w:t>本金偿债率分别为6.9%、2.1%、5.5%、5.5%、5.4%、8%、7.3%，</w:t>
      </w:r>
      <w:r w:rsidR="00D14DD4">
        <w:rPr>
          <w:rFonts w:ascii="宋体" w:eastAsia="宋体" w:hAnsi="宋体" w:cs="宋体" w:hint="eastAsia"/>
          <w:sz w:val="24"/>
        </w:rPr>
        <w:t>不良债权的偿债率为8%-2.1%之间，</w:t>
      </w:r>
      <w:r w:rsidR="00CF69E2">
        <w:rPr>
          <w:rFonts w:ascii="宋体" w:eastAsia="宋体" w:hAnsi="宋体" w:cs="宋体" w:hint="eastAsia"/>
          <w:sz w:val="24"/>
        </w:rPr>
        <w:t>离散度不大，</w:t>
      </w:r>
      <w:r>
        <w:rPr>
          <w:rFonts w:ascii="宋体" w:eastAsia="宋体" w:hAnsi="宋体" w:cs="宋体" w:hint="eastAsia"/>
          <w:sz w:val="24"/>
        </w:rPr>
        <w:t>平均的本金偿债率为5.8%。这</w:t>
      </w:r>
      <w:r w:rsidR="004B324C">
        <w:rPr>
          <w:rFonts w:ascii="宋体" w:eastAsia="宋体" w:hAnsi="宋体" w:cs="宋体" w:hint="eastAsia"/>
          <w:sz w:val="24"/>
        </w:rPr>
        <w:t>也</w:t>
      </w:r>
      <w:r>
        <w:rPr>
          <w:rFonts w:ascii="宋体" w:eastAsia="宋体" w:hAnsi="宋体" w:cs="宋体" w:hint="eastAsia"/>
          <w:sz w:val="24"/>
        </w:rPr>
        <w:t>与我们在走访</w:t>
      </w:r>
      <w:r w:rsidRPr="00D10697">
        <w:rPr>
          <w:rFonts w:ascii="宋体" w:eastAsia="宋体" w:hAnsi="宋体" w:cs="宋体" w:hint="eastAsia"/>
          <w:sz w:val="24"/>
        </w:rPr>
        <w:t>安徽今昔律师事务所</w:t>
      </w:r>
      <w:r>
        <w:rPr>
          <w:rFonts w:ascii="宋体" w:eastAsia="宋体" w:hAnsi="宋体" w:cs="宋体" w:hint="eastAsia"/>
          <w:sz w:val="24"/>
        </w:rPr>
        <w:t>重整管理人经办程律师时，她告诉</w:t>
      </w:r>
      <w:r w:rsidR="004B324C">
        <w:rPr>
          <w:rFonts w:ascii="宋体" w:eastAsia="宋体" w:hAnsi="宋体" w:cs="宋体" w:hint="eastAsia"/>
          <w:sz w:val="24"/>
        </w:rPr>
        <w:t>我们</w:t>
      </w:r>
      <w:r w:rsidR="00F57046">
        <w:rPr>
          <w:rFonts w:ascii="宋体" w:eastAsia="宋体" w:hAnsi="宋体" w:cs="宋体" w:hint="eastAsia"/>
          <w:sz w:val="24"/>
        </w:rPr>
        <w:t>她们认为</w:t>
      </w:r>
      <w:r w:rsidR="004B324C">
        <w:rPr>
          <w:rFonts w:ascii="宋体" w:eastAsia="宋体" w:hAnsi="宋体" w:cs="宋体" w:hint="eastAsia"/>
          <w:sz w:val="24"/>
        </w:rPr>
        <w:t>类似的偿债率不</w:t>
      </w:r>
      <w:r w:rsidR="00F57046">
        <w:rPr>
          <w:rFonts w:ascii="宋体" w:eastAsia="宋体" w:hAnsi="宋体" w:cs="宋体" w:hint="eastAsia"/>
          <w:sz w:val="24"/>
        </w:rPr>
        <w:t>会</w:t>
      </w:r>
      <w:r w:rsidR="004B324C">
        <w:rPr>
          <w:rFonts w:ascii="宋体" w:eastAsia="宋体" w:hAnsi="宋体" w:cs="宋体" w:hint="eastAsia"/>
          <w:sz w:val="24"/>
        </w:rPr>
        <w:t>超过10%相印证。</w:t>
      </w:r>
    </w:p>
    <w:p w14:paraId="180E7606" w14:textId="0C7E54F2" w:rsidR="00D10697" w:rsidRDefault="004B324C" w:rsidP="00D10697">
      <w:pPr>
        <w:pStyle w:val="aa"/>
        <w:ind w:firstLine="480"/>
        <w:rPr>
          <w:rFonts w:ascii="宋体" w:eastAsia="宋体" w:hAnsi="宋体" w:cs="宋体" w:hint="eastAsia"/>
          <w:sz w:val="24"/>
        </w:rPr>
      </w:pPr>
      <w:r>
        <w:rPr>
          <w:rFonts w:ascii="宋体" w:eastAsia="宋体" w:hAnsi="宋体" w:cs="宋体" w:hint="eastAsia"/>
          <w:sz w:val="24"/>
        </w:rPr>
        <w:t>在</w:t>
      </w:r>
      <w:r w:rsidR="00586839">
        <w:rPr>
          <w:rFonts w:ascii="宋体" w:eastAsia="宋体" w:hAnsi="宋体" w:cs="宋体" w:hint="eastAsia"/>
          <w:sz w:val="24"/>
        </w:rPr>
        <w:t>评估</w:t>
      </w:r>
      <w:r>
        <w:rPr>
          <w:rFonts w:ascii="宋体" w:eastAsia="宋体" w:hAnsi="宋体" w:cs="宋体" w:hint="eastAsia"/>
          <w:sz w:val="24"/>
        </w:rPr>
        <w:t>条件受限的情况下，咨询人员按5.8%来确定本次债权的</w:t>
      </w:r>
      <w:r w:rsidR="00586839">
        <w:rPr>
          <w:rFonts w:ascii="宋体" w:eastAsia="宋体" w:hAnsi="宋体" w:cs="宋体" w:hint="eastAsia"/>
          <w:sz w:val="24"/>
        </w:rPr>
        <w:t>咨询</w:t>
      </w:r>
      <w:r>
        <w:rPr>
          <w:rFonts w:ascii="宋体" w:eastAsia="宋体" w:hAnsi="宋体" w:cs="宋体" w:hint="eastAsia"/>
          <w:sz w:val="24"/>
        </w:rPr>
        <w:t>价值=</w:t>
      </w:r>
      <w:r w:rsidRPr="004B324C">
        <w:rPr>
          <w:rFonts w:ascii="宋体" w:eastAsia="宋体" w:hAnsi="宋体" w:cs="宋体"/>
          <w:sz w:val="24"/>
        </w:rPr>
        <w:t>4879</w:t>
      </w:r>
      <w:r w:rsidR="00CF69E2">
        <w:rPr>
          <w:rFonts w:ascii="宋体" w:eastAsia="宋体" w:hAnsi="宋体" w:cs="宋体" w:hint="eastAsia"/>
          <w:sz w:val="24"/>
        </w:rPr>
        <w:t>.</w:t>
      </w:r>
      <w:r w:rsidRPr="004B324C">
        <w:rPr>
          <w:rFonts w:ascii="宋体" w:eastAsia="宋体" w:hAnsi="宋体" w:cs="宋体"/>
          <w:sz w:val="24"/>
        </w:rPr>
        <w:t>8</w:t>
      </w:r>
      <w:r w:rsidR="00CF69E2">
        <w:rPr>
          <w:rFonts w:ascii="宋体" w:eastAsia="宋体" w:hAnsi="宋体" w:cs="宋体" w:hint="eastAsia"/>
          <w:sz w:val="24"/>
        </w:rPr>
        <w:t>万元</w:t>
      </w:r>
      <w:r w:rsidRPr="004B324C">
        <w:rPr>
          <w:rFonts w:ascii="宋体" w:eastAsia="宋体" w:hAnsi="宋体" w:cs="宋体" w:hint="eastAsia"/>
          <w:sz w:val="24"/>
        </w:rPr>
        <w:t>*</w:t>
      </w:r>
      <w:r>
        <w:rPr>
          <w:rFonts w:ascii="宋体" w:eastAsia="宋体" w:hAnsi="宋体" w:cs="宋体" w:hint="eastAsia"/>
          <w:sz w:val="24"/>
        </w:rPr>
        <w:t>5.8%=283万元（取整）。</w:t>
      </w:r>
    </w:p>
    <w:p w14:paraId="52C92550" w14:textId="77777777" w:rsidR="004B324C" w:rsidRPr="00CF69E2" w:rsidRDefault="004B324C" w:rsidP="00D10697">
      <w:pPr>
        <w:pStyle w:val="aa"/>
        <w:ind w:firstLine="480"/>
        <w:rPr>
          <w:rFonts w:ascii="宋体" w:eastAsia="宋体" w:hAnsi="宋体" w:cs="宋体" w:hint="eastAsia"/>
          <w:sz w:val="24"/>
        </w:rPr>
      </w:pPr>
    </w:p>
    <w:p w14:paraId="0CB37D40" w14:textId="59E84589" w:rsidR="005C4B91" w:rsidRDefault="003573EF">
      <w:pPr>
        <w:pStyle w:val="2"/>
        <w:ind w:firstLine="0"/>
        <w:rPr>
          <w:rFonts w:ascii="Times New Roman" w:hAnsi="Times New Roman"/>
        </w:rPr>
      </w:pPr>
      <w:bookmarkStart w:id="22" w:name="_Toc211694562"/>
      <w:r>
        <w:rPr>
          <w:rFonts w:ascii="Times New Roman" w:hAnsi="Times New Roman" w:hint="eastAsia"/>
        </w:rPr>
        <w:t>六</w:t>
      </w:r>
      <w:r w:rsidRPr="005C6AEB">
        <w:rPr>
          <w:rFonts w:ascii="Times New Roman" w:hAnsi="Times New Roman" w:hint="eastAsia"/>
        </w:rPr>
        <w:t>、</w:t>
      </w:r>
      <w:r w:rsidR="00577D76">
        <w:rPr>
          <w:rFonts w:ascii="Times New Roman" w:hAnsi="Times New Roman" w:hint="eastAsia"/>
        </w:rPr>
        <w:t>价值咨询</w:t>
      </w:r>
      <w:r w:rsidRPr="005C6AEB">
        <w:rPr>
          <w:rFonts w:ascii="Times New Roman" w:hAnsi="Times New Roman" w:hint="eastAsia"/>
        </w:rPr>
        <w:t>结论</w:t>
      </w:r>
      <w:bookmarkEnd w:id="22"/>
    </w:p>
    <w:p w14:paraId="4C5D5680" w14:textId="06866C5E" w:rsidR="00577D76" w:rsidRPr="004B324C" w:rsidRDefault="004B324C" w:rsidP="004B324C">
      <w:pPr>
        <w:pStyle w:val="aa"/>
        <w:ind w:firstLine="480"/>
        <w:rPr>
          <w:rFonts w:ascii="宋体" w:eastAsia="宋体" w:hAnsi="宋体" w:cs="宋体" w:hint="eastAsia"/>
          <w:sz w:val="24"/>
        </w:rPr>
      </w:pPr>
      <w:r w:rsidRPr="004B324C">
        <w:rPr>
          <w:rFonts w:ascii="宋体" w:eastAsia="宋体" w:hAnsi="宋体" w:cs="宋体" w:hint="eastAsia"/>
          <w:sz w:val="24"/>
        </w:rPr>
        <w:t>我们经履行必要的程序后认为</w:t>
      </w:r>
      <w:r w:rsidRPr="00577D76">
        <w:rPr>
          <w:rFonts w:ascii="宋体" w:eastAsia="宋体" w:hAnsi="宋体" w:cs="宋体" w:hint="eastAsia"/>
          <w:kern w:val="2"/>
          <w:sz w:val="24"/>
        </w:rPr>
        <w:t>江苏钟山典当有限责任公司</w:t>
      </w:r>
      <w:r>
        <w:rPr>
          <w:rFonts w:ascii="宋体" w:eastAsia="宋体" w:hAnsi="宋体" w:cs="宋体" w:hint="eastAsia"/>
          <w:kern w:val="2"/>
          <w:sz w:val="24"/>
        </w:rPr>
        <w:t>持有的</w:t>
      </w:r>
      <w:r w:rsidRPr="00D10697">
        <w:rPr>
          <w:rFonts w:ascii="宋体" w:eastAsia="宋体" w:hAnsi="宋体" w:cs="宋体" w:hint="eastAsia"/>
          <w:sz w:val="24"/>
        </w:rPr>
        <w:t>安徽龙越生态旅游开发有限公司</w:t>
      </w:r>
      <w:r>
        <w:rPr>
          <w:rFonts w:ascii="宋体" w:eastAsia="宋体" w:hAnsi="宋体" w:cs="宋体" w:hint="eastAsia"/>
          <w:sz w:val="24"/>
        </w:rPr>
        <w:t>的4879.80万元债权价值为283万元。</w:t>
      </w:r>
    </w:p>
    <w:p w14:paraId="394AA71C" w14:textId="77777777" w:rsidR="00577D76" w:rsidRPr="004B324C" w:rsidRDefault="00577D76" w:rsidP="004B324C">
      <w:pPr>
        <w:pStyle w:val="aa"/>
        <w:ind w:firstLine="480"/>
        <w:rPr>
          <w:rFonts w:ascii="宋体" w:eastAsia="宋体" w:hAnsi="宋体" w:cs="宋体" w:hint="eastAsia"/>
          <w:sz w:val="24"/>
        </w:rPr>
      </w:pPr>
    </w:p>
    <w:p w14:paraId="200137B2" w14:textId="0A68712B" w:rsidR="005C4B91" w:rsidRDefault="003573EF">
      <w:pPr>
        <w:pStyle w:val="2"/>
        <w:snapToGrid w:val="0"/>
        <w:ind w:firstLine="0"/>
        <w:rPr>
          <w:rFonts w:ascii="Times New Roman" w:hAnsi="Times New Roman"/>
        </w:rPr>
      </w:pPr>
      <w:bookmarkStart w:id="23" w:name="_Toc211694563"/>
      <w:r>
        <w:rPr>
          <w:rFonts w:ascii="Times New Roman" w:hAnsi="Times New Roman" w:hint="eastAsia"/>
        </w:rPr>
        <w:t>七、</w:t>
      </w:r>
      <w:r w:rsidR="00577D76">
        <w:rPr>
          <w:rFonts w:ascii="Times New Roman" w:hAnsi="Times New Roman" w:hint="eastAsia"/>
        </w:rPr>
        <w:t>价值咨询</w:t>
      </w:r>
      <w:r>
        <w:rPr>
          <w:rFonts w:ascii="Times New Roman" w:hAnsi="Times New Roman" w:hint="eastAsia"/>
        </w:rPr>
        <w:t>报告出具日</w:t>
      </w:r>
      <w:bookmarkEnd w:id="23"/>
    </w:p>
    <w:p w14:paraId="69C27955" w14:textId="5FC64FDB" w:rsidR="005C4B91" w:rsidRDefault="00000000">
      <w:pPr>
        <w:pStyle w:val="a0"/>
        <w:tabs>
          <w:tab w:val="left" w:pos="312"/>
        </w:tabs>
        <w:snapToGrid w:val="0"/>
        <w:spacing w:before="0" w:after="0" w:line="360" w:lineRule="auto"/>
        <w:rPr>
          <w:rFonts w:ascii="宋体" w:eastAsia="宋体" w:hAnsi="宋体" w:cs="宋体" w:hint="eastAsia"/>
          <w:sz w:val="24"/>
        </w:rPr>
      </w:pPr>
      <w:r>
        <w:rPr>
          <w:rFonts w:ascii="宋体" w:eastAsia="宋体" w:hAnsi="宋体" w:cs="宋体" w:hint="eastAsia"/>
          <w:sz w:val="24"/>
        </w:rPr>
        <w:t>本</w:t>
      </w:r>
      <w:r w:rsidR="00577D76">
        <w:rPr>
          <w:rFonts w:ascii="宋体" w:eastAsia="宋体" w:hAnsi="宋体" w:cs="宋体" w:hint="eastAsia"/>
          <w:sz w:val="24"/>
        </w:rPr>
        <w:t>价值咨询</w:t>
      </w:r>
      <w:r>
        <w:rPr>
          <w:rFonts w:ascii="宋体" w:eastAsia="宋体" w:hAnsi="宋体" w:cs="宋体" w:hint="eastAsia"/>
          <w:sz w:val="24"/>
        </w:rPr>
        <w:t>报告出具日为2</w:t>
      </w:r>
      <w:r>
        <w:rPr>
          <w:rFonts w:ascii="宋体" w:eastAsia="宋体" w:hAnsi="宋体" w:cs="宋体"/>
          <w:sz w:val="24"/>
        </w:rPr>
        <w:t>02</w:t>
      </w:r>
      <w:r w:rsidR="005474B7">
        <w:rPr>
          <w:rFonts w:ascii="宋体" w:eastAsia="宋体" w:hAnsi="宋体" w:cs="宋体" w:hint="eastAsia"/>
          <w:sz w:val="24"/>
        </w:rPr>
        <w:t>5</w:t>
      </w:r>
      <w:r>
        <w:rPr>
          <w:rFonts w:ascii="宋体" w:eastAsia="宋体" w:hAnsi="宋体" w:cs="宋体" w:hint="eastAsia"/>
          <w:sz w:val="24"/>
        </w:rPr>
        <w:t>年</w:t>
      </w:r>
      <w:r w:rsidR="00577D76">
        <w:rPr>
          <w:rFonts w:ascii="宋体" w:eastAsia="宋体" w:hAnsi="宋体" w:cs="宋体" w:hint="eastAsia"/>
          <w:sz w:val="24"/>
        </w:rPr>
        <w:t>10</w:t>
      </w:r>
      <w:r>
        <w:rPr>
          <w:rFonts w:ascii="宋体" w:eastAsia="宋体" w:hAnsi="宋体" w:cs="宋体" w:hint="eastAsia"/>
          <w:sz w:val="24"/>
        </w:rPr>
        <w:t>月</w:t>
      </w:r>
      <w:r w:rsidR="005474B7">
        <w:rPr>
          <w:rFonts w:ascii="宋体" w:eastAsia="宋体" w:hAnsi="宋体" w:cs="宋体" w:hint="eastAsia"/>
          <w:sz w:val="24"/>
        </w:rPr>
        <w:t>2</w:t>
      </w:r>
      <w:r w:rsidR="00577D76">
        <w:rPr>
          <w:rFonts w:ascii="宋体" w:eastAsia="宋体" w:hAnsi="宋体" w:cs="宋体" w:hint="eastAsia"/>
          <w:sz w:val="24"/>
        </w:rPr>
        <w:t>0</w:t>
      </w:r>
      <w:r>
        <w:rPr>
          <w:rFonts w:ascii="宋体" w:eastAsia="宋体" w:hAnsi="宋体" w:cs="宋体" w:hint="eastAsia"/>
          <w:sz w:val="24"/>
        </w:rPr>
        <w:t>日。</w:t>
      </w:r>
    </w:p>
    <w:p w14:paraId="64B5B1A1" w14:textId="77777777" w:rsidR="005C4B91" w:rsidRDefault="005C4B91">
      <w:pPr>
        <w:pStyle w:val="a0"/>
        <w:tabs>
          <w:tab w:val="left" w:pos="312"/>
        </w:tabs>
        <w:snapToGrid w:val="0"/>
        <w:spacing w:before="0" w:after="0" w:line="360" w:lineRule="auto"/>
        <w:rPr>
          <w:rFonts w:ascii="宋体" w:eastAsia="宋体" w:hAnsi="宋体" w:cs="宋体" w:hint="eastAsia"/>
          <w:sz w:val="24"/>
        </w:rPr>
      </w:pPr>
    </w:p>
    <w:p w14:paraId="3B16673F" w14:textId="77777777" w:rsidR="00CB184F" w:rsidRDefault="00CB184F">
      <w:pPr>
        <w:pStyle w:val="a0"/>
        <w:tabs>
          <w:tab w:val="left" w:pos="312"/>
        </w:tabs>
        <w:snapToGrid w:val="0"/>
        <w:spacing w:before="0" w:after="0" w:line="360" w:lineRule="auto"/>
        <w:rPr>
          <w:rFonts w:ascii="宋体" w:eastAsia="宋体" w:hAnsi="宋体" w:cs="宋体" w:hint="eastAsia"/>
          <w:sz w:val="24"/>
        </w:rPr>
      </w:pPr>
    </w:p>
    <w:p w14:paraId="0A46C214" w14:textId="77777777" w:rsidR="00CB184F" w:rsidRDefault="00CB184F">
      <w:pPr>
        <w:pStyle w:val="a0"/>
        <w:tabs>
          <w:tab w:val="left" w:pos="312"/>
        </w:tabs>
        <w:snapToGrid w:val="0"/>
        <w:spacing w:before="0" w:after="0" w:line="360" w:lineRule="auto"/>
        <w:rPr>
          <w:rFonts w:ascii="宋体" w:eastAsia="宋体" w:hAnsi="宋体" w:cs="宋体" w:hint="eastAsia"/>
          <w:sz w:val="24"/>
        </w:rPr>
      </w:pPr>
    </w:p>
    <w:p w14:paraId="544A4194" w14:textId="77777777" w:rsidR="00CB184F" w:rsidRDefault="00CB184F">
      <w:pPr>
        <w:pStyle w:val="a0"/>
        <w:tabs>
          <w:tab w:val="left" w:pos="312"/>
        </w:tabs>
        <w:snapToGrid w:val="0"/>
        <w:spacing w:before="0" w:after="0" w:line="360" w:lineRule="auto"/>
        <w:rPr>
          <w:rFonts w:ascii="宋体" w:eastAsia="宋体" w:hAnsi="宋体" w:cs="宋体" w:hint="eastAsia"/>
          <w:sz w:val="24"/>
        </w:rPr>
      </w:pPr>
    </w:p>
    <w:p w14:paraId="10AC18A2" w14:textId="4ECDC244" w:rsidR="005C4B91" w:rsidRDefault="00577D76" w:rsidP="00577D76">
      <w:pPr>
        <w:pStyle w:val="a0"/>
        <w:tabs>
          <w:tab w:val="left" w:pos="312"/>
        </w:tabs>
        <w:snapToGrid w:val="0"/>
        <w:spacing w:before="0" w:after="0" w:line="360" w:lineRule="auto"/>
        <w:ind w:firstLineChars="1800" w:firstLine="4320"/>
        <w:rPr>
          <w:rFonts w:ascii="宋体" w:eastAsia="宋体" w:hAnsi="宋体" w:cs="宋体" w:hint="eastAsia"/>
          <w:sz w:val="24"/>
        </w:rPr>
      </w:pPr>
      <w:r w:rsidRPr="00577D76">
        <w:rPr>
          <w:rFonts w:ascii="宋体" w:eastAsia="宋体" w:hAnsi="宋体" w:cs="宋体" w:hint="eastAsia"/>
          <w:sz w:val="24"/>
        </w:rPr>
        <w:t>江苏华盛资产评估有限公司</w:t>
      </w:r>
    </w:p>
    <w:p w14:paraId="2B2434DD" w14:textId="77777777" w:rsidR="00E950B8" w:rsidRDefault="00E950B8" w:rsidP="00E950B8">
      <w:pPr>
        <w:pStyle w:val="a0"/>
        <w:tabs>
          <w:tab w:val="left" w:pos="312"/>
        </w:tabs>
        <w:snapToGrid w:val="0"/>
        <w:spacing w:before="0" w:after="0" w:line="360" w:lineRule="auto"/>
        <w:rPr>
          <w:rFonts w:ascii="宋体" w:eastAsia="宋体" w:hAnsi="宋体" w:cs="宋体" w:hint="eastAsia"/>
          <w:sz w:val="24"/>
        </w:rPr>
      </w:pPr>
    </w:p>
    <w:p w14:paraId="303DCDA4" w14:textId="6E4C93DD" w:rsidR="00E950B8" w:rsidRPr="00E950B8" w:rsidRDefault="00E950B8" w:rsidP="00E950B8">
      <w:pPr>
        <w:pStyle w:val="a0"/>
        <w:tabs>
          <w:tab w:val="left" w:pos="312"/>
        </w:tabs>
        <w:snapToGrid w:val="0"/>
        <w:spacing w:before="0" w:after="0" w:line="360" w:lineRule="auto"/>
        <w:ind w:firstLineChars="1900" w:firstLine="4560"/>
        <w:rPr>
          <w:rFonts w:ascii="宋体" w:eastAsia="宋体" w:hAnsi="宋体" w:cs="宋体" w:hint="eastAsia"/>
          <w:sz w:val="24"/>
        </w:rPr>
      </w:pPr>
      <w:r>
        <w:rPr>
          <w:rFonts w:ascii="宋体" w:eastAsia="宋体" w:hAnsi="宋体" w:cs="宋体" w:hint="eastAsia"/>
          <w:sz w:val="24"/>
        </w:rPr>
        <w:t>2</w:t>
      </w:r>
      <w:r>
        <w:rPr>
          <w:rFonts w:ascii="宋体" w:eastAsia="宋体" w:hAnsi="宋体" w:cs="宋体"/>
          <w:sz w:val="24"/>
        </w:rPr>
        <w:t>02</w:t>
      </w:r>
      <w:r w:rsidR="005474B7">
        <w:rPr>
          <w:rFonts w:ascii="宋体" w:eastAsia="宋体" w:hAnsi="宋体" w:cs="宋体" w:hint="eastAsia"/>
          <w:sz w:val="24"/>
        </w:rPr>
        <w:t>5</w:t>
      </w:r>
      <w:r>
        <w:rPr>
          <w:rFonts w:ascii="宋体" w:eastAsia="宋体" w:hAnsi="宋体" w:cs="宋体" w:hint="eastAsia"/>
          <w:sz w:val="24"/>
        </w:rPr>
        <w:t>年</w:t>
      </w:r>
      <w:r w:rsidR="00577D76">
        <w:rPr>
          <w:rFonts w:ascii="宋体" w:eastAsia="宋体" w:hAnsi="宋体" w:cs="宋体" w:hint="eastAsia"/>
          <w:sz w:val="24"/>
        </w:rPr>
        <w:t>10</w:t>
      </w:r>
      <w:r>
        <w:rPr>
          <w:rFonts w:ascii="宋体" w:eastAsia="宋体" w:hAnsi="宋体" w:cs="宋体" w:hint="eastAsia"/>
          <w:sz w:val="24"/>
        </w:rPr>
        <w:t>月</w:t>
      </w:r>
      <w:r>
        <w:rPr>
          <w:rFonts w:ascii="宋体" w:eastAsia="宋体" w:hAnsi="宋体" w:cs="宋体"/>
          <w:sz w:val="24"/>
        </w:rPr>
        <w:t>2</w:t>
      </w:r>
      <w:r w:rsidR="00577D76">
        <w:rPr>
          <w:rFonts w:ascii="宋体" w:eastAsia="宋体" w:hAnsi="宋体" w:cs="宋体" w:hint="eastAsia"/>
          <w:sz w:val="24"/>
        </w:rPr>
        <w:t>0</w:t>
      </w:r>
      <w:r>
        <w:rPr>
          <w:rFonts w:ascii="宋体" w:eastAsia="宋体" w:hAnsi="宋体" w:cs="宋体" w:hint="eastAsia"/>
          <w:sz w:val="24"/>
        </w:rPr>
        <w:t>日</w:t>
      </w:r>
    </w:p>
    <w:sectPr w:rsidR="00E950B8" w:rsidRPr="00E950B8">
      <w:footerReference w:type="default" r:id="rId1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659A4" w14:textId="77777777" w:rsidR="001F4788" w:rsidRDefault="001F4788">
      <w:r>
        <w:separator/>
      </w:r>
    </w:p>
  </w:endnote>
  <w:endnote w:type="continuationSeparator" w:id="0">
    <w:p w14:paraId="78A9728B" w14:textId="77777777" w:rsidR="001F4788" w:rsidRDefault="001F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81F4" w14:textId="77777777" w:rsidR="007E206F" w:rsidRDefault="007E206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E716" w14:textId="77777777" w:rsidR="007E206F" w:rsidRDefault="007E206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CFE1" w14:textId="77777777" w:rsidR="007E206F" w:rsidRDefault="007E206F">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B2D4" w14:textId="77777777" w:rsidR="005C4B91" w:rsidRDefault="00000000">
    <w:pPr>
      <w:pStyle w:val="a6"/>
    </w:pPr>
    <w:r>
      <w:rPr>
        <w:noProof/>
      </w:rPr>
      <mc:AlternateContent>
        <mc:Choice Requires="wps">
          <w:drawing>
            <wp:anchor distT="0" distB="0" distL="114300" distR="114300" simplePos="0" relativeHeight="251659264" behindDoc="0" locked="0" layoutInCell="1" allowOverlap="1" wp14:anchorId="1FF744D5" wp14:editId="6C185DC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31A58" w14:textId="77777777" w:rsidR="005C4B91" w:rsidRDefault="00000000">
                          <w:pPr>
                            <w:pStyle w:val="a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F744D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DD31A58" w14:textId="77777777" w:rsidR="005C4B91" w:rsidRDefault="00000000">
                    <w:pPr>
                      <w:pStyle w:val="a6"/>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8B2C" w14:textId="77777777" w:rsidR="001F4788" w:rsidRDefault="001F4788">
      <w:r>
        <w:separator/>
      </w:r>
    </w:p>
  </w:footnote>
  <w:footnote w:type="continuationSeparator" w:id="0">
    <w:p w14:paraId="06F4EC15" w14:textId="77777777" w:rsidR="001F4788" w:rsidRDefault="001F4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2949" w14:textId="77777777" w:rsidR="007E206F" w:rsidRDefault="007E206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09D7" w14:textId="17FFDFEE" w:rsidR="005C4B91" w:rsidRPr="007E206F" w:rsidRDefault="005C4B91" w:rsidP="007E206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EFA4" w14:textId="77777777" w:rsidR="007E206F" w:rsidRDefault="007E206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FlMTM4ZDBiNjJjZjEzNGE1MTZjZGNkMDc4NjcyNDUifQ=="/>
  </w:docVars>
  <w:rsids>
    <w:rsidRoot w:val="00172A27"/>
    <w:rsid w:val="000130FB"/>
    <w:rsid w:val="00033BD5"/>
    <w:rsid w:val="000472E8"/>
    <w:rsid w:val="00081ECC"/>
    <w:rsid w:val="000824E2"/>
    <w:rsid w:val="000843DB"/>
    <w:rsid w:val="000974E7"/>
    <w:rsid w:val="000B14BF"/>
    <w:rsid w:val="000C4DCB"/>
    <w:rsid w:val="000C6D8D"/>
    <w:rsid w:val="000C7490"/>
    <w:rsid w:val="000D6377"/>
    <w:rsid w:val="00123578"/>
    <w:rsid w:val="001637CE"/>
    <w:rsid w:val="00172A27"/>
    <w:rsid w:val="00181D0A"/>
    <w:rsid w:val="00185F36"/>
    <w:rsid w:val="00192B00"/>
    <w:rsid w:val="00197840"/>
    <w:rsid w:val="001B6544"/>
    <w:rsid w:val="001C48FD"/>
    <w:rsid w:val="001D38EF"/>
    <w:rsid w:val="001E3403"/>
    <w:rsid w:val="001F4788"/>
    <w:rsid w:val="001F6064"/>
    <w:rsid w:val="00214E1B"/>
    <w:rsid w:val="002165BE"/>
    <w:rsid w:val="00240E3E"/>
    <w:rsid w:val="002659D2"/>
    <w:rsid w:val="00287587"/>
    <w:rsid w:val="00292AFA"/>
    <w:rsid w:val="002B6F3C"/>
    <w:rsid w:val="003573EF"/>
    <w:rsid w:val="0035743A"/>
    <w:rsid w:val="003A6185"/>
    <w:rsid w:val="003C51FB"/>
    <w:rsid w:val="003F61C9"/>
    <w:rsid w:val="00412B99"/>
    <w:rsid w:val="004233D1"/>
    <w:rsid w:val="00491498"/>
    <w:rsid w:val="004B324C"/>
    <w:rsid w:val="00506ED5"/>
    <w:rsid w:val="00526CF7"/>
    <w:rsid w:val="00532DD0"/>
    <w:rsid w:val="00533BAF"/>
    <w:rsid w:val="005474B7"/>
    <w:rsid w:val="00551010"/>
    <w:rsid w:val="0056429F"/>
    <w:rsid w:val="00577D76"/>
    <w:rsid w:val="00586839"/>
    <w:rsid w:val="005C4B91"/>
    <w:rsid w:val="005C5112"/>
    <w:rsid w:val="005C6AEB"/>
    <w:rsid w:val="005D3496"/>
    <w:rsid w:val="005D5ABD"/>
    <w:rsid w:val="005D7B23"/>
    <w:rsid w:val="005F5297"/>
    <w:rsid w:val="00617849"/>
    <w:rsid w:val="00626E4A"/>
    <w:rsid w:val="0063287A"/>
    <w:rsid w:val="00634131"/>
    <w:rsid w:val="00636B99"/>
    <w:rsid w:val="0064314B"/>
    <w:rsid w:val="00643BE3"/>
    <w:rsid w:val="00667C16"/>
    <w:rsid w:val="006811B3"/>
    <w:rsid w:val="00690B06"/>
    <w:rsid w:val="006D3CB4"/>
    <w:rsid w:val="006F781E"/>
    <w:rsid w:val="00705A96"/>
    <w:rsid w:val="007323B2"/>
    <w:rsid w:val="00736ED7"/>
    <w:rsid w:val="0074621F"/>
    <w:rsid w:val="007479BA"/>
    <w:rsid w:val="0076071F"/>
    <w:rsid w:val="007C2AFA"/>
    <w:rsid w:val="007D6C0A"/>
    <w:rsid w:val="007E206F"/>
    <w:rsid w:val="0087200A"/>
    <w:rsid w:val="008928EE"/>
    <w:rsid w:val="00894258"/>
    <w:rsid w:val="008F7E4D"/>
    <w:rsid w:val="00900748"/>
    <w:rsid w:val="00914356"/>
    <w:rsid w:val="0091552E"/>
    <w:rsid w:val="00933FD1"/>
    <w:rsid w:val="00937524"/>
    <w:rsid w:val="00953A65"/>
    <w:rsid w:val="00975C37"/>
    <w:rsid w:val="00993D84"/>
    <w:rsid w:val="009A1B36"/>
    <w:rsid w:val="009C013B"/>
    <w:rsid w:val="009C7819"/>
    <w:rsid w:val="009E36E6"/>
    <w:rsid w:val="009F430B"/>
    <w:rsid w:val="009F7C48"/>
    <w:rsid w:val="00A11A85"/>
    <w:rsid w:val="00A45DB3"/>
    <w:rsid w:val="00A6564D"/>
    <w:rsid w:val="00A65D81"/>
    <w:rsid w:val="00A71216"/>
    <w:rsid w:val="00A869B7"/>
    <w:rsid w:val="00AD547E"/>
    <w:rsid w:val="00B00CF6"/>
    <w:rsid w:val="00B016D8"/>
    <w:rsid w:val="00B05E98"/>
    <w:rsid w:val="00B078FB"/>
    <w:rsid w:val="00B20742"/>
    <w:rsid w:val="00B2552C"/>
    <w:rsid w:val="00B30168"/>
    <w:rsid w:val="00B36EE9"/>
    <w:rsid w:val="00B60373"/>
    <w:rsid w:val="00B655F4"/>
    <w:rsid w:val="00B74F01"/>
    <w:rsid w:val="00BD63D6"/>
    <w:rsid w:val="00C10E0B"/>
    <w:rsid w:val="00C22443"/>
    <w:rsid w:val="00C2416B"/>
    <w:rsid w:val="00C24761"/>
    <w:rsid w:val="00C3411B"/>
    <w:rsid w:val="00C8426A"/>
    <w:rsid w:val="00C86EBB"/>
    <w:rsid w:val="00C93B12"/>
    <w:rsid w:val="00C97F60"/>
    <w:rsid w:val="00CB184F"/>
    <w:rsid w:val="00CD1395"/>
    <w:rsid w:val="00CF69E2"/>
    <w:rsid w:val="00D04F27"/>
    <w:rsid w:val="00D05233"/>
    <w:rsid w:val="00D10697"/>
    <w:rsid w:val="00D14DD4"/>
    <w:rsid w:val="00D1557D"/>
    <w:rsid w:val="00D303B2"/>
    <w:rsid w:val="00D604FA"/>
    <w:rsid w:val="00D674E2"/>
    <w:rsid w:val="00D73B96"/>
    <w:rsid w:val="00D75F37"/>
    <w:rsid w:val="00D845D0"/>
    <w:rsid w:val="00D87353"/>
    <w:rsid w:val="00DC5B6A"/>
    <w:rsid w:val="00DE513A"/>
    <w:rsid w:val="00E24FDD"/>
    <w:rsid w:val="00E32251"/>
    <w:rsid w:val="00E3681F"/>
    <w:rsid w:val="00E44845"/>
    <w:rsid w:val="00E942BC"/>
    <w:rsid w:val="00E950B8"/>
    <w:rsid w:val="00EA41C9"/>
    <w:rsid w:val="00F27BA4"/>
    <w:rsid w:val="00F57046"/>
    <w:rsid w:val="00F83B0E"/>
    <w:rsid w:val="00F84BAF"/>
    <w:rsid w:val="00FA4B54"/>
    <w:rsid w:val="00FA68E2"/>
    <w:rsid w:val="00FB0CF1"/>
    <w:rsid w:val="00FB11C8"/>
    <w:rsid w:val="00FB2764"/>
    <w:rsid w:val="00FC4908"/>
    <w:rsid w:val="00FC6512"/>
    <w:rsid w:val="00FD14C3"/>
    <w:rsid w:val="00FF6569"/>
    <w:rsid w:val="03125B78"/>
    <w:rsid w:val="036B7036"/>
    <w:rsid w:val="04BF3ADE"/>
    <w:rsid w:val="06D03D80"/>
    <w:rsid w:val="07350087"/>
    <w:rsid w:val="07AA637F"/>
    <w:rsid w:val="07C62BC3"/>
    <w:rsid w:val="083D48CB"/>
    <w:rsid w:val="08E41D65"/>
    <w:rsid w:val="08ED6E6B"/>
    <w:rsid w:val="0B381EF4"/>
    <w:rsid w:val="0CCF4ADA"/>
    <w:rsid w:val="10101691"/>
    <w:rsid w:val="10B95885"/>
    <w:rsid w:val="10FD1C16"/>
    <w:rsid w:val="114F61E9"/>
    <w:rsid w:val="13433B2C"/>
    <w:rsid w:val="135178A8"/>
    <w:rsid w:val="13DA7FEC"/>
    <w:rsid w:val="143811B7"/>
    <w:rsid w:val="144E09DA"/>
    <w:rsid w:val="14DC3FAC"/>
    <w:rsid w:val="1606156C"/>
    <w:rsid w:val="172E3367"/>
    <w:rsid w:val="1ADF238C"/>
    <w:rsid w:val="1B043BA1"/>
    <w:rsid w:val="1B28788F"/>
    <w:rsid w:val="1B430B6D"/>
    <w:rsid w:val="1D772D50"/>
    <w:rsid w:val="1DB92BA1"/>
    <w:rsid w:val="1F7A6B27"/>
    <w:rsid w:val="1FA37E2C"/>
    <w:rsid w:val="218C184E"/>
    <w:rsid w:val="23F006BD"/>
    <w:rsid w:val="285919D0"/>
    <w:rsid w:val="29915199"/>
    <w:rsid w:val="2A3D4EF0"/>
    <w:rsid w:val="2C6721E1"/>
    <w:rsid w:val="2F9024D5"/>
    <w:rsid w:val="30A9101A"/>
    <w:rsid w:val="37DB688A"/>
    <w:rsid w:val="39A22AAB"/>
    <w:rsid w:val="3CB337E8"/>
    <w:rsid w:val="3D65451B"/>
    <w:rsid w:val="41BA3087"/>
    <w:rsid w:val="42611755"/>
    <w:rsid w:val="42ED123B"/>
    <w:rsid w:val="44727C49"/>
    <w:rsid w:val="45310DCD"/>
    <w:rsid w:val="466435C2"/>
    <w:rsid w:val="46F81F5C"/>
    <w:rsid w:val="47044DA5"/>
    <w:rsid w:val="4A080708"/>
    <w:rsid w:val="4BDC1E4C"/>
    <w:rsid w:val="4CD945DE"/>
    <w:rsid w:val="4DE1199C"/>
    <w:rsid w:val="4FC96B8B"/>
    <w:rsid w:val="50B11AF9"/>
    <w:rsid w:val="54225706"/>
    <w:rsid w:val="551408A9"/>
    <w:rsid w:val="5569324E"/>
    <w:rsid w:val="57AF7D99"/>
    <w:rsid w:val="582708F3"/>
    <w:rsid w:val="58E617C2"/>
    <w:rsid w:val="5A6A4AC7"/>
    <w:rsid w:val="5ACE32A8"/>
    <w:rsid w:val="5C757E7F"/>
    <w:rsid w:val="5CD21C98"/>
    <w:rsid w:val="5D5E6B65"/>
    <w:rsid w:val="602C2F4B"/>
    <w:rsid w:val="622814F0"/>
    <w:rsid w:val="63F7561D"/>
    <w:rsid w:val="659A0956"/>
    <w:rsid w:val="65E2322E"/>
    <w:rsid w:val="66087D4E"/>
    <w:rsid w:val="672A3F5C"/>
    <w:rsid w:val="67AC671F"/>
    <w:rsid w:val="68F047DB"/>
    <w:rsid w:val="6AB45F7C"/>
    <w:rsid w:val="6B5275DD"/>
    <w:rsid w:val="6D08089B"/>
    <w:rsid w:val="6D995997"/>
    <w:rsid w:val="6EAB5982"/>
    <w:rsid w:val="6F4B1FB9"/>
    <w:rsid w:val="6FC7059A"/>
    <w:rsid w:val="6FED5B27"/>
    <w:rsid w:val="7137174F"/>
    <w:rsid w:val="71D15700"/>
    <w:rsid w:val="72734A09"/>
    <w:rsid w:val="749D5D6D"/>
    <w:rsid w:val="74A25132"/>
    <w:rsid w:val="76D67314"/>
    <w:rsid w:val="77D01FB6"/>
    <w:rsid w:val="77D0645A"/>
    <w:rsid w:val="78672074"/>
    <w:rsid w:val="7F160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C0FFB"/>
  <w15:docId w15:val="{B959F82E-162F-46B7-B7F0-E465852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toc 3" w:uiPriority="39"/>
    <w:lsdException w:name="Normal Indent" w:uiPriority="99" w:qFormat="1"/>
    <w:lsdException w:name="annotation text"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adjustRightInd w:val="0"/>
      <w:spacing w:line="360" w:lineRule="auto"/>
      <w:ind w:firstLine="425"/>
      <w:jc w:val="left"/>
      <w:textAlignment w:val="baseline"/>
      <w:outlineLvl w:val="1"/>
    </w:pPr>
    <w:rPr>
      <w:rFonts w:ascii="Arial" w:eastAsiaTheme="majorEastAsia" w:hAnsi="Arial"/>
      <w:b/>
      <w:kern w:val="0"/>
      <w:sz w:val="30"/>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adjustRightInd w:val="0"/>
      <w:spacing w:before="60" w:after="60" w:line="312" w:lineRule="atLeast"/>
      <w:ind w:firstLine="420"/>
      <w:textAlignment w:val="baseline"/>
    </w:pPr>
    <w:rPr>
      <w:kern w:val="0"/>
    </w:rPr>
  </w:style>
  <w:style w:type="paragraph" w:styleId="a4">
    <w:name w:val="annotation text"/>
    <w:basedOn w:val="a"/>
    <w:link w:val="a5"/>
    <w:qFormat/>
    <w:pPr>
      <w:jc w:val="left"/>
    </w:pPr>
    <w:rPr>
      <w:kern w:val="0"/>
    </w:rPr>
  </w:style>
  <w:style w:type="paragraph" w:styleId="TOC3">
    <w:name w:val="toc 3"/>
    <w:basedOn w:val="a"/>
    <w:next w:val="a"/>
    <w:uiPriority w:val="39"/>
    <w:pPr>
      <w:ind w:leftChars="400" w:left="84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link w:val="a8"/>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a"/>
    <w:next w:val="a"/>
    <w:uiPriority w:val="39"/>
    <w:qFormat/>
    <w:pPr>
      <w:ind w:leftChars="200" w:left="420"/>
    </w:pPr>
  </w:style>
  <w:style w:type="character" w:styleId="a9">
    <w:name w:val="Hyperlink"/>
    <w:basedOn w:val="a1"/>
    <w:uiPriority w:val="99"/>
    <w:unhideWhenUsed/>
    <w:qFormat/>
    <w:rPr>
      <w:color w:val="0563C1" w:themeColor="hyperlink"/>
      <w:u w:val="single"/>
    </w:rPr>
  </w:style>
  <w:style w:type="paragraph" w:customStyle="1" w:styleId="aa">
    <w:name w:val="报告正文"/>
    <w:basedOn w:val="a"/>
    <w:link w:val="Char"/>
    <w:qFormat/>
    <w:pPr>
      <w:adjustRightInd w:val="0"/>
      <w:snapToGrid w:val="0"/>
      <w:spacing w:line="360" w:lineRule="auto"/>
      <w:ind w:firstLineChars="200" w:firstLine="200"/>
    </w:pPr>
    <w:rPr>
      <w:rFonts w:ascii="Arial Narrow" w:hAnsi="Arial Narrow"/>
      <w:kern w:val="0"/>
    </w:rPr>
  </w:style>
  <w:style w:type="character" w:customStyle="1" w:styleId="Char">
    <w:name w:val="报告正文 Char"/>
    <w:link w:val="aa"/>
    <w:qFormat/>
    <w:rPr>
      <w:rFonts w:ascii="Arial Narrow" w:hAnsi="Arial Narrow"/>
      <w:kern w:val="0"/>
      <w:szCs w:val="24"/>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font11">
    <w:name w:val="font11"/>
    <w:basedOn w:val="a1"/>
    <w:qFormat/>
    <w:rPr>
      <w:rFonts w:ascii="宋体" w:eastAsia="宋体" w:hAnsi="宋体" w:cs="宋体" w:hint="eastAsia"/>
      <w:color w:val="000000"/>
      <w:sz w:val="18"/>
      <w:szCs w:val="18"/>
      <w:u w:val="none"/>
    </w:rPr>
  </w:style>
  <w:style w:type="character" w:customStyle="1" w:styleId="font41">
    <w:name w:val="font41"/>
    <w:basedOn w:val="a1"/>
    <w:qFormat/>
    <w:rPr>
      <w:rFonts w:ascii="宋体" w:eastAsia="宋体" w:hAnsi="宋体" w:cs="宋体" w:hint="eastAsia"/>
      <w:b/>
      <w:color w:val="000000"/>
      <w:sz w:val="18"/>
      <w:szCs w:val="18"/>
      <w:u w:val="none"/>
    </w:rPr>
  </w:style>
  <w:style w:type="character" w:customStyle="1" w:styleId="font61">
    <w:name w:val="font61"/>
    <w:basedOn w:val="a1"/>
    <w:qFormat/>
    <w:rPr>
      <w:rFonts w:ascii="Times New Roman" w:hAnsi="Times New Roman" w:cs="Times New Roman" w:hint="default"/>
      <w:color w:val="000000"/>
      <w:sz w:val="18"/>
      <w:szCs w:val="18"/>
      <w:u w:val="none"/>
    </w:rPr>
  </w:style>
  <w:style w:type="paragraph" w:styleId="ab">
    <w:name w:val="List Paragraph"/>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10">
    <w:name w:val="标题 1 字符"/>
    <w:basedOn w:val="a1"/>
    <w:link w:val="1"/>
    <w:qFormat/>
    <w:rPr>
      <w:rFonts w:asciiTheme="minorHAnsi" w:eastAsiaTheme="minorEastAsia" w:hAnsiTheme="minorHAnsi" w:cstheme="minorBidi"/>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眉 字符"/>
    <w:basedOn w:val="a1"/>
    <w:link w:val="a7"/>
    <w:uiPriority w:val="99"/>
    <w:rsid w:val="00B05E98"/>
    <w:rPr>
      <w:rFonts w:asciiTheme="minorHAnsi" w:eastAsiaTheme="minorEastAsia" w:hAnsiTheme="minorHAnsi" w:cstheme="minorBidi"/>
      <w:kern w:val="2"/>
      <w:sz w:val="18"/>
      <w:szCs w:val="24"/>
    </w:rPr>
  </w:style>
  <w:style w:type="paragraph" w:styleId="ac">
    <w:name w:val="Revision"/>
    <w:hidden/>
    <w:uiPriority w:val="99"/>
    <w:unhideWhenUsed/>
    <w:rsid w:val="00690B06"/>
    <w:rPr>
      <w:rFonts w:asciiTheme="minorHAnsi" w:eastAsiaTheme="minorEastAsia" w:hAnsiTheme="minorHAnsi" w:cstheme="minorBidi"/>
      <w:kern w:val="2"/>
      <w:sz w:val="21"/>
      <w:szCs w:val="24"/>
    </w:rPr>
  </w:style>
  <w:style w:type="character" w:styleId="ad">
    <w:name w:val="annotation reference"/>
    <w:basedOn w:val="a1"/>
    <w:rsid w:val="00690B06"/>
    <w:rPr>
      <w:sz w:val="21"/>
      <w:szCs w:val="21"/>
    </w:rPr>
  </w:style>
  <w:style w:type="paragraph" w:styleId="ae">
    <w:name w:val="annotation subject"/>
    <w:basedOn w:val="a4"/>
    <w:next w:val="a4"/>
    <w:link w:val="af"/>
    <w:rsid w:val="00690B06"/>
    <w:rPr>
      <w:b/>
      <w:bCs/>
      <w:kern w:val="2"/>
    </w:rPr>
  </w:style>
  <w:style w:type="character" w:customStyle="1" w:styleId="a5">
    <w:name w:val="批注文字 字符"/>
    <w:basedOn w:val="a1"/>
    <w:link w:val="a4"/>
    <w:rsid w:val="00690B06"/>
    <w:rPr>
      <w:rFonts w:asciiTheme="minorHAnsi" w:eastAsiaTheme="minorEastAsia" w:hAnsiTheme="minorHAnsi" w:cstheme="minorBidi"/>
      <w:sz w:val="21"/>
      <w:szCs w:val="24"/>
    </w:rPr>
  </w:style>
  <w:style w:type="character" w:customStyle="1" w:styleId="af">
    <w:name w:val="批注主题 字符"/>
    <w:basedOn w:val="a5"/>
    <w:link w:val="ae"/>
    <w:rsid w:val="00690B06"/>
    <w:rPr>
      <w:rFonts w:asciiTheme="minorHAnsi" w:eastAsiaTheme="minorEastAsia" w:hAnsiTheme="minorHAnsi" w:cstheme="minorBidi"/>
      <w:b/>
      <w:bCs/>
      <w:kern w:val="2"/>
      <w:sz w:val="21"/>
      <w:szCs w:val="24"/>
    </w:rPr>
  </w:style>
  <w:style w:type="character" w:styleId="af0">
    <w:name w:val="Unresolved Mention"/>
    <w:basedOn w:val="a1"/>
    <w:uiPriority w:val="99"/>
    <w:semiHidden/>
    <w:unhideWhenUsed/>
    <w:rsid w:val="00577D76"/>
    <w:rPr>
      <w:color w:val="605E5C"/>
      <w:shd w:val="clear" w:color="auto" w:fill="E1DFDD"/>
    </w:rPr>
  </w:style>
  <w:style w:type="paragraph" w:styleId="af1">
    <w:name w:val="Body Text Indent"/>
    <w:basedOn w:val="a"/>
    <w:link w:val="af2"/>
    <w:uiPriority w:val="99"/>
    <w:qFormat/>
    <w:rsid w:val="00C8426A"/>
    <w:pPr>
      <w:spacing w:after="120"/>
      <w:ind w:leftChars="200" w:left="420"/>
    </w:pPr>
    <w:rPr>
      <w:rFonts w:ascii="Calibri" w:eastAsia="宋体" w:hAnsi="Calibri" w:cs="Times New Roman"/>
      <w:u w:color="000000"/>
    </w:rPr>
  </w:style>
  <w:style w:type="character" w:customStyle="1" w:styleId="af2">
    <w:name w:val="正文文本缩进 字符"/>
    <w:basedOn w:val="a1"/>
    <w:link w:val="af1"/>
    <w:uiPriority w:val="99"/>
    <w:qFormat/>
    <w:rsid w:val="00C8426A"/>
    <w:rPr>
      <w:rFonts w:ascii="Calibri" w:hAnsi="Calibri"/>
      <w:kern w:val="2"/>
      <w:sz w:val="21"/>
      <w:szCs w:val="24"/>
      <w:u w:color="000000"/>
    </w:rPr>
  </w:style>
  <w:style w:type="table" w:styleId="af3">
    <w:name w:val="Table Grid"/>
    <w:basedOn w:val="a2"/>
    <w:qFormat/>
    <w:rsid w:val="00C8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3083">
      <w:bodyDiv w:val="1"/>
      <w:marLeft w:val="0"/>
      <w:marRight w:val="0"/>
      <w:marTop w:val="0"/>
      <w:marBottom w:val="0"/>
      <w:divBdr>
        <w:top w:val="none" w:sz="0" w:space="0" w:color="auto"/>
        <w:left w:val="none" w:sz="0" w:space="0" w:color="auto"/>
        <w:bottom w:val="none" w:sz="0" w:space="0" w:color="auto"/>
        <w:right w:val="none" w:sz="0" w:space="0" w:color="auto"/>
      </w:divBdr>
    </w:div>
    <w:div w:id="603075827">
      <w:bodyDiv w:val="1"/>
      <w:marLeft w:val="0"/>
      <w:marRight w:val="0"/>
      <w:marTop w:val="0"/>
      <w:marBottom w:val="0"/>
      <w:divBdr>
        <w:top w:val="none" w:sz="0" w:space="0" w:color="auto"/>
        <w:left w:val="none" w:sz="0" w:space="0" w:color="auto"/>
        <w:bottom w:val="none" w:sz="0" w:space="0" w:color="auto"/>
        <w:right w:val="none" w:sz="0" w:space="0" w:color="auto"/>
      </w:divBdr>
    </w:div>
    <w:div w:id="1208378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ianyancha.com/human/1985453211-c234997513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D64909A-5392-414C-8425-C98DE7A743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1058</Words>
  <Characters>1185</Characters>
  <Application>Microsoft Office Word</Application>
  <DocSecurity>0</DocSecurity>
  <Lines>107</Lines>
  <Paragraphs>93</Paragraphs>
  <ScaleCrop>false</ScaleCrop>
  <Company>Kingsoft</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BGS-yyl</dc:creator>
  <cp:lastModifiedBy>yinan yuan</cp:lastModifiedBy>
  <cp:revision>79</cp:revision>
  <dcterms:created xsi:type="dcterms:W3CDTF">2014-10-29T12:08:00Z</dcterms:created>
  <dcterms:modified xsi:type="dcterms:W3CDTF">2025-10-19T01:01:00Z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B4B725F4E0FC4860BEED7EF4B9EB17FB_12</vt:lpwstr>
  </property>
</Properties>
</file>